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296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5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55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855"/>
        <w:jc w:val="right"/>
      </w:pPr>
      <w:r>
        <w:rPr>
          <w:rFonts w:eastAsia="Calibri"/>
          <w:bCs/>
          <w:szCs w:val="28"/>
        </w:rPr>
        <w:t xml:space="preserve">16.01</w:t>
      </w:r>
      <w:r>
        <w:rPr>
          <w:rFonts w:eastAsia="Calibri"/>
          <w:bCs/>
          <w:szCs w:val="28"/>
        </w:rPr>
        <w:t xml:space="preserve">.2025</w:t>
      </w:r>
      <w:r/>
    </w:p>
    <w:p>
      <w:pPr>
        <w:pStyle w:val="85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" w:right="10" w:firstLine="701"/>
        <w:jc w:val="both"/>
        <w:spacing w:line="317" w:lineRule="exact"/>
        <w:shd w:val="clear" w:color="auto" w:fill="ffffff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  <w:r>
        <w:rPr>
          <w:rFonts w:eastAsia="Times New Roman"/>
          <w:spacing w:val="-6"/>
          <w:sz w:val="30"/>
          <w:szCs w:val="30"/>
        </w:rPr>
      </w:r>
      <w:r>
        <w:rPr>
          <w:rFonts w:eastAsia="Times New Roman"/>
          <w:spacing w:val="-6"/>
          <w:sz w:val="30"/>
          <w:szCs w:val="30"/>
        </w:rPr>
      </w:r>
    </w:p>
    <w:p>
      <w:pPr>
        <w:jc w:val="left"/>
        <w:widowControl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Наиболее характерные основания для приостановления учетно-регистрационных действий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результате</w:t>
      </w:r>
      <w:r>
        <w:rPr>
          <w:rFonts w:eastAsia="Times New Roman"/>
          <w:sz w:val="28"/>
          <w:szCs w:val="28"/>
        </w:rPr>
        <w:t xml:space="preserve"> анализа решений о приостановлении учетно-регистрационных действий за второе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полугодие 20</w:t>
      </w:r>
      <w:r>
        <w:rPr>
          <w:rFonts w:eastAsia="Times New Roman"/>
          <w:sz w:val="28"/>
          <w:szCs w:val="28"/>
        </w:rPr>
        <w:t xml:space="preserve">2</w:t>
      </w:r>
      <w:r>
        <w:rPr>
          <w:rFonts w:eastAsia="Times New Roman"/>
          <w:sz w:val="28"/>
          <w:szCs w:val="28"/>
        </w:rPr>
        <w:t xml:space="preserve">4</w:t>
      </w:r>
      <w:r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установлено, что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иболее распространенны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приостановления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eastAsia="Times New Roman"/>
          <w:sz w:val="28"/>
          <w:szCs w:val="28"/>
        </w:rPr>
        <w:t xml:space="preserve"> наличие </w:t>
      </w:r>
      <w:r>
        <w:rPr>
          <w:rFonts w:eastAsia="Times New Roman"/>
          <w:sz w:val="28"/>
          <w:szCs w:val="28"/>
        </w:rPr>
        <w:t xml:space="preserve">в сведениях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</w:t>
      </w:r>
      <w:r>
        <w:rPr>
          <w:rFonts w:eastAsia="Times New Roman"/>
          <w:sz w:val="28"/>
          <w:szCs w:val="28"/>
        </w:rPr>
        <w:t xml:space="preserve">совершать определенные действия с недвижимым имуществом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ладелец недвижимости перед сдачей документов на государственную регистрацию может узнать информацию о принадлежащем ему </w:t>
      </w:r>
      <w:r>
        <w:rPr>
          <w:bCs/>
          <w:sz w:val="28"/>
          <w:szCs w:val="28"/>
        </w:rPr>
        <w:t xml:space="preserve">объекте</w:t>
      </w:r>
      <w:r>
        <w:rPr>
          <w:bCs/>
          <w:sz w:val="28"/>
          <w:szCs w:val="28"/>
        </w:rPr>
        <w:t xml:space="preserve"> недвижимости</w:t>
      </w:r>
      <w:r>
        <w:rPr>
          <w:bCs/>
          <w:sz w:val="28"/>
          <w:szCs w:val="28"/>
        </w:rPr>
        <w:t xml:space="preserve">, в том числе имеющихся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ограничениях (обременениях),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помощью сервиса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 «Личный кабинет правообладателя», который размещен на главной странице сайта ведомства.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» на сайте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 xml:space="preserve">в виде ареста или запрета</w:t>
      </w:r>
      <w:r>
        <w:rPr>
          <w:sz w:val="28"/>
          <w:szCs w:val="28"/>
          <w:u w:val="none"/>
        </w:rPr>
        <w:t xml:space="preserve">, то собственнику необходимо обратиться в орган, наложивший такое </w:t>
      </w:r>
      <w:r>
        <w:rPr>
          <w:sz w:val="28"/>
          <w:szCs w:val="28"/>
          <w:u w:val="none"/>
        </w:rPr>
        <w:t xml:space="preserve">ограничение, за  снятием.</w:t>
      </w:r>
      <w:r>
        <w:rPr>
          <w:rFonts w:eastAsia="Times New Roman"/>
          <w:sz w:val="28"/>
          <w:szCs w:val="28"/>
          <w:u w:val="none"/>
        </w:rPr>
      </w:r>
      <w:r>
        <w:rPr>
          <w:rFonts w:eastAsia="Times New Roman"/>
          <w:sz w:val="28"/>
          <w:szCs w:val="28"/>
          <w:u w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</w:t>
      </w:r>
      <w:r>
        <w:rPr>
          <w:rFonts w:eastAsia="Times New Roman"/>
          <w:sz w:val="28"/>
          <w:szCs w:val="28"/>
        </w:rPr>
        <w:t xml:space="preserve"> прав на объекты недвижимости </w:t>
      </w:r>
      <w:r>
        <w:rPr>
          <w:rFonts w:eastAsia="Times New Roman"/>
          <w:sz w:val="28"/>
          <w:szCs w:val="28"/>
        </w:rPr>
        <w:t xml:space="preserve">в виде ипотеки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08"/>
        <w:jc w:val="both"/>
        <w:widowControl/>
        <w:rPr>
          <w:rFonts w:eastAsia="Times New Roman"/>
          <w:sz w:val="28"/>
          <w:szCs w:val="28"/>
        </w:rPr>
        <w:outlineLvl w:val="0"/>
      </w:pPr>
      <w:r>
        <w:rPr>
          <w:rFonts w:eastAsia="Times New Roman"/>
          <w:sz w:val="28"/>
          <w:szCs w:val="28"/>
        </w:rPr>
        <w:t xml:space="preserve">П</w:t>
      </w:r>
      <w:r>
        <w:rPr>
          <w:rFonts w:eastAsia="Times New Roman"/>
          <w:sz w:val="28"/>
          <w:szCs w:val="28"/>
        </w:rPr>
        <w:t xml:space="preserve">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 ограничении (обременении) в виде ипотеки</w:t>
      </w:r>
      <w:r>
        <w:rPr>
          <w:rFonts w:eastAsia="Times New Roman"/>
          <w:sz w:val="28"/>
          <w:szCs w:val="28"/>
        </w:rPr>
        <w:t xml:space="preserve">. В случае наличия такой записи предпринять меры для ее погашения                     до сдачи соответствующих документов в орган регистрации прав.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Порядок </w:t>
      </w:r>
      <w:r>
        <w:rPr>
          <w:rFonts w:eastAsia="Times New Roman"/>
          <w:sz w:val="28"/>
          <w:szCs w:val="28"/>
        </w:rPr>
        <w:t xml:space="preserve">п</w:t>
      </w:r>
      <w:r>
        <w:rPr>
          <w:rFonts w:eastAsia="Times New Roman"/>
          <w:sz w:val="28"/>
          <w:szCs w:val="28"/>
        </w:rPr>
        <w:t xml:space="preserve">огашени</w:t>
      </w:r>
      <w:r>
        <w:rPr>
          <w:rFonts w:eastAsia="Times New Roman"/>
          <w:sz w:val="28"/>
          <w:szCs w:val="28"/>
        </w:rPr>
        <w:t xml:space="preserve">я</w:t>
      </w:r>
      <w:r>
        <w:rPr>
          <w:rFonts w:eastAsia="Times New Roman"/>
          <w:sz w:val="28"/>
          <w:szCs w:val="28"/>
        </w:rPr>
        <w:t xml:space="preserve"> регистрационной записи об ипотеке</w:t>
      </w:r>
      <w:r>
        <w:rPr>
          <w:rFonts w:eastAsia="Times New Roman"/>
          <w:sz w:val="28"/>
          <w:szCs w:val="28"/>
        </w:rPr>
        <w:t xml:space="preserve"> установлен в статье 25 </w:t>
      </w:r>
      <w:r>
        <w:rPr>
          <w:rFonts w:eastAsia="Times New Roman"/>
          <w:sz w:val="28"/>
          <w:szCs w:val="28"/>
        </w:rPr>
        <w:t xml:space="preserve">Федеральн</w:t>
      </w:r>
      <w:r>
        <w:rPr>
          <w:rFonts w:eastAsia="Times New Roman"/>
          <w:sz w:val="28"/>
          <w:szCs w:val="28"/>
        </w:rPr>
        <w:t xml:space="preserve">ого</w:t>
      </w:r>
      <w:r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 xml:space="preserve">а  от 16.07.1998 N 102-ФЗ </w:t>
      </w:r>
      <w:r>
        <w:rPr>
          <w:rFonts w:eastAsia="Times New Roman"/>
          <w:sz w:val="28"/>
          <w:szCs w:val="28"/>
        </w:rPr>
        <w:t xml:space="preserve">"Об ипотеке (залоге недвижимости)"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 случае, если </w:t>
      </w:r>
      <w:r>
        <w:rPr>
          <w:rFonts w:eastAsia="Times New Roman"/>
          <w:sz w:val="28"/>
          <w:szCs w:val="28"/>
        </w:rPr>
        <w:t xml:space="preserve">была </w:t>
      </w:r>
      <w:r>
        <w:rPr>
          <w:rFonts w:eastAsia="Times New Roman"/>
          <w:sz w:val="28"/>
          <w:szCs w:val="28"/>
        </w:rPr>
        <w:t xml:space="preserve">выдана закладная</w:t>
      </w:r>
      <w:r>
        <w:rPr>
          <w:rFonts w:eastAsia="Times New Roman"/>
          <w:sz w:val="28"/>
          <w:szCs w:val="28"/>
        </w:rPr>
        <w:t xml:space="preserve">,  для погашения записи об ипотеки                   </w:t>
      </w:r>
      <w:r>
        <w:rPr>
          <w:rFonts w:eastAsia="Times New Roman"/>
          <w:sz w:val="28"/>
          <w:szCs w:val="28"/>
        </w:rPr>
        <w:t xml:space="preserve">в орган регистрации прав</w:t>
      </w:r>
      <w:r>
        <w:rPr>
          <w:rFonts w:eastAsia="Times New Roman"/>
          <w:sz w:val="28"/>
          <w:szCs w:val="28"/>
        </w:rPr>
        <w:t xml:space="preserve"> могут быть представлены: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совместно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с одновременным представлением документарной закладной, содержащей отметку владельца закладной об исполнении обеспеченного ипотеко</w:t>
      </w:r>
      <w:r>
        <w:rPr>
          <w:rFonts w:eastAsia="Times New Roman"/>
          <w:sz w:val="28"/>
          <w:szCs w:val="28"/>
        </w:rPr>
        <w:t xml:space="preserve">й обязательства в полном объеме.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случае</w:t>
      </w:r>
      <w:r>
        <w:rPr>
          <w:rFonts w:eastAsia="Times New Roman"/>
          <w:sz w:val="28"/>
          <w:szCs w:val="28"/>
        </w:rPr>
        <w:t xml:space="preserve">, если закладная</w:t>
      </w:r>
      <w:r>
        <w:rPr>
          <w:rFonts w:eastAsia="Times New Roman"/>
          <w:sz w:val="28"/>
          <w:szCs w:val="28"/>
        </w:rPr>
        <w:t xml:space="preserve"> не выдавалась, </w:t>
      </w:r>
      <w:r>
        <w:rPr>
          <w:rFonts w:eastAsia="Times New Roman"/>
          <w:sz w:val="28"/>
          <w:szCs w:val="28"/>
        </w:rPr>
        <w:t xml:space="preserve">в орган регистрации прав необходимо представить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совместно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заявлени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залогодателя и залогодержателя</w:t>
      </w:r>
      <w:r>
        <w:rPr>
          <w:rFonts w:eastAsia="Times New Roman"/>
          <w:sz w:val="28"/>
          <w:szCs w:val="28"/>
        </w:rPr>
        <w:t xml:space="preserve"> или только </w:t>
      </w:r>
      <w:r>
        <w:rPr>
          <w:rFonts w:eastAsia="Times New Roman"/>
          <w:sz w:val="28"/>
          <w:szCs w:val="28"/>
        </w:rPr>
        <w:t xml:space="preserve">залогодержателя.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Регистрационная запись об ипотеке погашается также по решению суда                   или арбитраж</w:t>
      </w:r>
      <w:r>
        <w:rPr>
          <w:rFonts w:eastAsia="Times New Roman"/>
          <w:sz w:val="28"/>
          <w:szCs w:val="28"/>
        </w:rPr>
        <w:t xml:space="preserve">ного суда о прекращении ипотеки.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8"/>
        <w:jc w:val="both"/>
        <w:widowControl/>
        <w:rPr>
          <w:rFonts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случае</w:t>
      </w:r>
      <w:r>
        <w:rPr>
          <w:rFonts w:eastAsiaTheme="minorHAnsi"/>
          <w:bCs/>
          <w:sz w:val="28"/>
          <w:szCs w:val="28"/>
          <w:lang w:eastAsia="en-US"/>
        </w:rPr>
        <w:t xml:space="preserve">, если </w:t>
      </w:r>
      <w:r>
        <w:rPr>
          <w:rFonts w:eastAsia="Times New Roman"/>
          <w:sz w:val="28"/>
          <w:szCs w:val="28"/>
        </w:rPr>
        <w:t xml:space="preserve">ограничени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 (обременени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) в виде ипотеки</w:t>
      </w:r>
      <w:r>
        <w:rPr>
          <w:rFonts w:eastAsia="Times New Roman"/>
          <w:sz w:val="28"/>
          <w:szCs w:val="28"/>
        </w:rPr>
        <w:t xml:space="preserve"> переходит                        на </w:t>
      </w:r>
      <w:r>
        <w:rPr>
          <w:rFonts w:eastAsia="Times New Roman"/>
          <w:sz w:val="28"/>
          <w:szCs w:val="28"/>
        </w:rPr>
        <w:t xml:space="preserve">покупателя</w:t>
      </w:r>
      <w:r>
        <w:rPr>
          <w:rFonts w:eastAsia="Times New Roman"/>
          <w:sz w:val="28"/>
          <w:szCs w:val="28"/>
        </w:rPr>
        <w:t xml:space="preserve">, то необходимо представить в орган регистрации прав согласие залогодержателя</w:t>
      </w:r>
      <w:r>
        <w:rPr>
          <w:rFonts w:eastAsia="Times New Roman"/>
          <w:sz w:val="28"/>
          <w:szCs w:val="28"/>
        </w:rPr>
        <w:t xml:space="preserve">, а также указать на наличие такого обременения в договоре                    об отчуждении </w:t>
      </w:r>
      <w:r>
        <w:rPr>
          <w:rFonts w:eastAsia="Times New Roman"/>
          <w:sz w:val="28"/>
          <w:szCs w:val="28"/>
        </w:rPr>
        <w:t xml:space="preserve">недвижимо</w:t>
      </w:r>
      <w:r>
        <w:rPr>
          <w:rFonts w:eastAsia="Times New Roman"/>
          <w:sz w:val="28"/>
          <w:szCs w:val="28"/>
        </w:rPr>
        <w:t xml:space="preserve">го</w:t>
      </w:r>
      <w:r>
        <w:rPr>
          <w:rFonts w:eastAsia="Times New Roman"/>
          <w:sz w:val="28"/>
          <w:szCs w:val="28"/>
        </w:rPr>
        <w:t xml:space="preserve"> имуществ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.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widowControl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7815" cy="664781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75456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7814" cy="6647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45pt;height:523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55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55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55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55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55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55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55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55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firstLine="0"/>
        <w:jc w:val="both"/>
        <w:widowControl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sectPr>
      <w:footnotePr/>
      <w:endnotePr/>
      <w:type w:val="nextPage"/>
      <w:pgSz w:w="11909" w:h="16834" w:orient="portrait"/>
      <w:pgMar w:top="720" w:right="720" w:bottom="720" w:left="72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character" w:styleId="826">
    <w:name w:val="Footnote Text Char"/>
    <w:link w:val="848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6">
    <w:name w:val="Normal (Web)"/>
    <w:basedOn w:val="841"/>
    <w:uiPriority w:val="99"/>
    <w:semiHidden/>
    <w:unhideWhenUsed/>
    <w:pPr>
      <w:spacing w:before="100" w:beforeAutospacing="1" w:after="100" w:afterAutospacing="1"/>
      <w:widowControl/>
    </w:pPr>
    <w:rPr>
      <w:rFonts w:eastAsia="Times New Roman"/>
      <w:sz w:val="24"/>
      <w:szCs w:val="24"/>
    </w:rPr>
  </w:style>
  <w:style w:type="paragraph" w:styleId="84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8">
    <w:name w:val="footnote text"/>
    <w:basedOn w:val="841"/>
    <w:link w:val="849"/>
    <w:uiPriority w:val="99"/>
    <w:semiHidden/>
    <w:unhideWhenUsed/>
  </w:style>
  <w:style w:type="character" w:styleId="849" w:customStyle="1">
    <w:name w:val="Текст сноски Знак"/>
    <w:basedOn w:val="842"/>
    <w:link w:val="848"/>
    <w:uiPriority w:val="99"/>
    <w:semiHidden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50">
    <w:name w:val="footnote reference"/>
    <w:unhideWhenUsed/>
    <w:rPr>
      <w:vertAlign w:val="superscript"/>
    </w:rPr>
  </w:style>
  <w:style w:type="character" w:styleId="851" w:customStyle="1">
    <w:name w:val="Основной текст (2)_"/>
    <w:basedOn w:val="8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2" w:customStyle="1">
    <w:name w:val="Основной текст (2)"/>
    <w:basedOn w:val="8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853">
    <w:name w:val="Balloon Text"/>
    <w:basedOn w:val="841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2"/>
    <w:link w:val="85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cp:keywords/>
  <dc:description/>
  <cp:revision>38</cp:revision>
  <dcterms:created xsi:type="dcterms:W3CDTF">2019-12-16T07:34:00Z</dcterms:created>
  <dcterms:modified xsi:type="dcterms:W3CDTF">2025-01-17T01:26:01Z</dcterms:modified>
</cp:coreProperties>
</file>