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45924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17.02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Росреестр полностью переходит на электронное взаимодействие с юридическими лицами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естр разработал </w:t>
      </w:r>
      <w:hyperlink r:id="rId10" w:tooltip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w:history="1">
        <w:r>
          <w:rPr>
            <w:rStyle w:val="814"/>
            <w:rFonts w:ascii="Times New Roman" w:hAnsi="Times New Roman" w:eastAsia="Times New Roman" w:cs="Times New Roman"/>
            <w:color w:val="0000ee"/>
            <w:sz w:val="28"/>
            <w:szCs w:val="24"/>
            <w:u w:val="single"/>
          </w:rPr>
          <w:t xml:space="preserve">методичку</w:t>
        </w:r>
      </w:hyperlink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, которая поможет разобраться во всех нюансах.</w:t>
        <w:br/>
        <w:br/>
        <w:t xml:space="preserve"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нной форме. Бумажные документы будут возвращаться без рассмотрения.</w:t>
        <w:br/>
        <w:br/>
        <w:t xml:space="preserve"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ние), является физическое лицо (кроме договоров участия в долевом строительстве).</w:t>
        <w:br/>
        <w:br/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еле при наличии временной технической невозможности обращения в электронной форме.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Регистрация договоров участия в долевом строительстве</w:t>
        <w:br/>
        <w:br/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 xml:space="preserve">Закон также обязал зас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 xml:space="preserve">Таким образом, электронный фо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рмат взаимодействия застройщиков с регистрирующим органом будет обязательным.</w:t>
        <w:br/>
        <w:br/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Способы подачи электронных документов в Росреестр: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Личный кабинет на официальном сайте Росреестра;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прямого доступа (СПД-3);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взаимодействия с Росреестром и Адаптер электронного взаимодействия (Адаптер);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Федеральная государственная информационная система межведомственного электронного взаимодействия (СМЭВ);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8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8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8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8"/>
        <w:jc w:val="left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2025-02-17T09:59:09Z</dcterms:modified>
</cp:coreProperties>
</file>