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    </w:t>
      </w:r>
      <w:r>
        <w:rPr>
          <w:rFonts w:ascii="Calibri" w:hAnsi="Calibri" w:eastAsia="Calibri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>
        <w:rPr>
          <w:rFonts w:eastAsia="Calibri"/>
          <w:b/>
          <w:bCs/>
          <w:szCs w:val="28"/>
        </w:rPr>
      </w:r>
    </w:p>
    <w:p>
      <w:pPr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jc w:val="right"/>
        <w:rPr>
          <w:rFonts w:eastAsia="Calibri"/>
          <w:b/>
          <w:bCs/>
          <w:sz w:val="32"/>
          <w:szCs w:val="28"/>
        </w:rPr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>
        <w:rPr>
          <w:rFonts w:eastAsia="Calibri"/>
          <w:b/>
          <w:bCs/>
          <w:sz w:val="32"/>
          <w:szCs w:val="28"/>
        </w:rPr>
      </w:r>
    </w:p>
    <w:p>
      <w:pPr>
        <w:jc w:val="right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1</w:t>
      </w:r>
      <w:r>
        <w:rPr>
          <w:rFonts w:eastAsia="Calibri"/>
          <w:bCs/>
          <w:szCs w:val="28"/>
        </w:rPr>
        <w:t xml:space="preserve">8.10.2024</w:t>
      </w:r>
      <w:r>
        <w:rPr>
          <w:rFonts w:eastAsia="Calibri"/>
          <w:bCs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Наиболее распространенные случаи нарушения обязательных требований</w:t>
      </w:r>
      <w:r>
        <w:rPr>
          <w:b/>
          <w:szCs w:val="28"/>
        </w:rPr>
      </w:r>
    </w:p>
    <w:p>
      <w:pPr>
        <w:jc w:val="both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jc w:val="both"/>
        <w:tabs>
          <w:tab w:val="left" w:pos="720" w:leader="none"/>
        </w:tabs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  <w:t xml:space="preserve">Наиболее распространенными случаями нарушения обязательных требований являются:</w:t>
      </w:r>
      <w:r>
        <w:rPr>
          <w:bCs/>
          <w:color w:val="000000" w:themeColor="text1"/>
          <w:spacing w:val="-4"/>
          <w:szCs w:val="28"/>
        </w:rPr>
      </w:r>
    </w:p>
    <w:p>
      <w:pPr>
        <w:jc w:val="both"/>
        <w:tabs>
          <w:tab w:val="left" w:pos="720" w:leader="none"/>
        </w:tabs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</w:r>
      <w:r>
        <w:rPr>
          <w:bCs/>
          <w:color w:val="000000" w:themeColor="text1"/>
          <w:spacing w:val="-4"/>
          <w:szCs w:val="28"/>
        </w:rPr>
      </w:r>
    </w:p>
    <w:p>
      <w:pPr>
        <w:ind w:firstLine="709"/>
        <w:jc w:val="both"/>
        <w:tabs>
          <w:tab w:val="left" w:pos="720" w:leader="none"/>
        </w:tabs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  <w:t xml:space="preserve">- неиспользование земельного участка, предназначенного для  жилищного или иного строительства, садоводства, огородничества (статья 42 Земельного ко</w:t>
      </w:r>
      <w:r>
        <w:rPr>
          <w:bCs/>
          <w:color w:val="000000" w:themeColor="text1"/>
          <w:spacing w:val="-4"/>
          <w:szCs w:val="28"/>
        </w:rPr>
        <w:t xml:space="preserve">декса Российско</w:t>
      </w:r>
      <w:r>
        <w:rPr>
          <w:bCs/>
          <w:color w:val="000000" w:themeColor="text1"/>
          <w:spacing w:val="-4"/>
          <w:szCs w:val="28"/>
        </w:rPr>
        <w:t xml:space="preserve">й Федерации)</w:t>
      </w:r>
      <w:r>
        <w:rPr>
          <w:bCs/>
          <w:color w:val="000000" w:themeColor="text1"/>
          <w:spacing w:val="-4"/>
          <w:szCs w:val="28"/>
        </w:rPr>
        <w:t xml:space="preserve">;</w:t>
      </w:r>
      <w:r>
        <w:rPr>
          <w:bCs/>
          <w:color w:val="000000" w:themeColor="text1"/>
          <w:spacing w:val="-4"/>
          <w:szCs w:val="28"/>
        </w:rPr>
      </w:r>
    </w:p>
    <w:p>
      <w:pPr>
        <w:ind w:firstLine="709"/>
        <w:jc w:val="both"/>
        <w:tabs>
          <w:tab w:val="left" w:pos="720" w:leader="none"/>
        </w:tabs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  <w:t xml:space="preserve">- использование земельного  участка без предусмотренных  законодательством прав (статья 8.1 Гражданского кодекса Российской Федерации, статья 25 Земельного кодекса);</w:t>
      </w:r>
      <w:r>
        <w:rPr>
          <w:bCs/>
          <w:color w:val="000000" w:themeColor="text1"/>
          <w:spacing w:val="-4"/>
          <w:szCs w:val="28"/>
        </w:rPr>
      </w:r>
    </w:p>
    <w:p>
      <w:pPr>
        <w:ind w:firstLine="709"/>
        <w:jc w:val="both"/>
        <w:tabs>
          <w:tab w:val="left" w:pos="720" w:leader="none"/>
        </w:tabs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  <w:t xml:space="preserve">- использование земельных участков на основании прав, возникших в силу  закона, но не зарегистрированных  в установленном порядке (статья 26 Земельного кодекса);</w:t>
      </w:r>
      <w:r>
        <w:rPr>
          <w:bCs/>
          <w:color w:val="000000" w:themeColor="text1"/>
          <w:spacing w:val="-4"/>
          <w:szCs w:val="28"/>
        </w:rPr>
      </w:r>
    </w:p>
    <w:p>
      <w:pPr>
        <w:ind w:firstLine="709"/>
        <w:jc w:val="both"/>
        <w:tabs>
          <w:tab w:val="left" w:pos="720" w:leader="none"/>
        </w:tabs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  <w:t xml:space="preserve">- использование земельного </w:t>
      </w:r>
      <w:r>
        <w:rPr>
          <w:bCs/>
          <w:color w:val="000000" w:themeColor="text1"/>
          <w:spacing w:val="-4"/>
          <w:szCs w:val="28"/>
        </w:rPr>
        <w:t xml:space="preserve">участка  не в соответствии  с у</w:t>
      </w:r>
      <w:r>
        <w:rPr>
          <w:bCs/>
          <w:color w:val="000000" w:themeColor="text1"/>
          <w:spacing w:val="-4"/>
          <w:szCs w:val="28"/>
        </w:rPr>
        <w:t xml:space="preserve">становленным целевым назначением и (или) разрешенным использованием (статья 42 Земельного коде</w:t>
      </w:r>
      <w:r>
        <w:rPr>
          <w:bCs/>
          <w:color w:val="000000" w:themeColor="text1"/>
          <w:spacing w:val="-4"/>
          <w:szCs w:val="28"/>
        </w:rPr>
        <w:t xml:space="preserve">к</w:t>
      </w:r>
      <w:r>
        <w:rPr>
          <w:bCs/>
          <w:color w:val="000000" w:themeColor="text1"/>
          <w:spacing w:val="-4"/>
          <w:szCs w:val="28"/>
        </w:rPr>
        <w:t xml:space="preserve">са).</w:t>
      </w:r>
      <w:bookmarkStart w:id="0" w:name="_GoBack"/>
      <w:r/>
      <w:bookmarkEnd w:id="0"/>
      <w:r/>
      <w:r>
        <w:rPr>
          <w:bCs/>
          <w:color w:val="000000" w:themeColor="text1"/>
          <w:spacing w:val="-4"/>
          <w:szCs w:val="28"/>
        </w:rPr>
      </w:r>
    </w:p>
    <w:p>
      <w:pPr>
        <w:jc w:val="both"/>
        <w:tabs>
          <w:tab w:val="left" w:pos="720" w:leader="none"/>
        </w:tabs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</w:r>
      <w:r>
        <w:rPr>
          <w:bCs/>
          <w:color w:val="000000" w:themeColor="text1"/>
          <w:spacing w:val="-4"/>
          <w:szCs w:val="28"/>
        </w:rPr>
      </w:r>
    </w:p>
    <w:p>
      <w:pPr>
        <w:jc w:val="both"/>
        <w:tabs>
          <w:tab w:val="left" w:pos="720" w:leader="none"/>
        </w:tabs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  <w:t xml:space="preserve">В основном, причинами нарушения обязательных требований, связанных</w:t>
      </w:r>
      <w:r>
        <w:rPr>
          <w:bCs/>
          <w:color w:val="000000" w:themeColor="text1"/>
          <w:spacing w:val="-4"/>
          <w:szCs w:val="28"/>
        </w:rPr>
        <w:t xml:space="preserve"> с </w:t>
      </w:r>
      <w:r>
        <w:rPr>
          <w:bCs/>
          <w:color w:val="000000" w:themeColor="text1"/>
          <w:spacing w:val="-4"/>
          <w:szCs w:val="28"/>
        </w:rPr>
        <w:t xml:space="preserve">самовольным занятием земельных участков, являются:</w:t>
      </w:r>
      <w:r>
        <w:rPr>
          <w:bCs/>
          <w:color w:val="000000" w:themeColor="text1"/>
          <w:spacing w:val="-4"/>
          <w:szCs w:val="28"/>
        </w:rPr>
      </w:r>
    </w:p>
    <w:p>
      <w:pPr>
        <w:jc w:val="both"/>
        <w:tabs>
          <w:tab w:val="left" w:pos="720" w:leader="none"/>
        </w:tabs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</w:r>
      <w:r>
        <w:rPr>
          <w:bCs/>
          <w:color w:val="000000" w:themeColor="text1"/>
          <w:spacing w:val="-4"/>
          <w:szCs w:val="28"/>
        </w:rPr>
      </w:r>
    </w:p>
    <w:p>
      <w:pPr>
        <w:ind w:firstLine="709"/>
        <w:jc w:val="both"/>
        <w:tabs>
          <w:tab w:val="left" w:pos="720" w:leader="none"/>
        </w:tabs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  <w:t xml:space="preserve">-</w:t>
      </w:r>
      <w:r>
        <w:rPr>
          <w:bCs/>
          <w:color w:val="000000" w:themeColor="text1"/>
          <w:spacing w:val="-4"/>
          <w:szCs w:val="28"/>
        </w:rPr>
        <w:t xml:space="preserve"> </w:t>
      </w:r>
      <w:r>
        <w:rPr>
          <w:bCs/>
          <w:color w:val="000000" w:themeColor="text1"/>
          <w:spacing w:val="-4"/>
          <w:szCs w:val="28"/>
        </w:rPr>
        <w:t xml:space="preserve">получение материальной</w:t>
      </w:r>
      <w:r>
        <w:rPr>
          <w:bCs/>
          <w:color w:val="000000" w:themeColor="text1"/>
          <w:spacing w:val="-4"/>
          <w:szCs w:val="28"/>
        </w:rPr>
        <w:t xml:space="preserve"> выгоды</w:t>
      </w:r>
      <w:r>
        <w:rPr>
          <w:bCs/>
          <w:color w:val="000000" w:themeColor="text1"/>
          <w:spacing w:val="-4"/>
          <w:szCs w:val="28"/>
        </w:rPr>
        <w:t xml:space="preserve"> и конкурентных преимуществ за счет уклонения</w:t>
      </w:r>
      <w:r>
        <w:rPr>
          <w:bCs/>
          <w:color w:val="000000" w:themeColor="text1"/>
          <w:spacing w:val="-4"/>
          <w:szCs w:val="28"/>
        </w:rPr>
        <w:t xml:space="preserve"> от уплаты земельного налога, арендных платежей за пользование землей, а также затраты на приобретение  земельного участка в собственность;</w:t>
      </w:r>
      <w:r>
        <w:rPr>
          <w:bCs/>
          <w:color w:val="000000" w:themeColor="text1"/>
          <w:spacing w:val="-4"/>
          <w:szCs w:val="28"/>
        </w:rPr>
      </w:r>
    </w:p>
    <w:p>
      <w:pPr>
        <w:ind w:firstLine="709"/>
        <w:jc w:val="both"/>
        <w:tabs>
          <w:tab w:val="left" w:pos="720" w:leader="none"/>
        </w:tabs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  <w:t xml:space="preserve">-</w:t>
      </w:r>
      <w:r>
        <w:rPr>
          <w:bCs/>
          <w:color w:val="000000" w:themeColor="text1"/>
          <w:spacing w:val="-4"/>
          <w:szCs w:val="28"/>
        </w:rPr>
        <w:t xml:space="preserve"> </w:t>
      </w:r>
      <w:r>
        <w:rPr>
          <w:bCs/>
          <w:color w:val="000000" w:themeColor="text1"/>
          <w:spacing w:val="-4"/>
          <w:szCs w:val="28"/>
        </w:rPr>
        <w:t xml:space="preserve">незнание  о наличии нарушения  в связи с </w:t>
      </w:r>
      <w:r>
        <w:rPr>
          <w:bCs/>
          <w:color w:val="000000" w:themeColor="text1"/>
          <w:spacing w:val="-4"/>
          <w:szCs w:val="28"/>
        </w:rPr>
        <w:t xml:space="preserve">непроведением</w:t>
      </w:r>
      <w:r>
        <w:rPr>
          <w:bCs/>
          <w:color w:val="000000" w:themeColor="text1"/>
          <w:spacing w:val="-4"/>
          <w:szCs w:val="28"/>
        </w:rPr>
        <w:t xml:space="preserve">  кадастр</w:t>
      </w:r>
      <w:r>
        <w:rPr>
          <w:bCs/>
          <w:color w:val="000000" w:themeColor="text1"/>
          <w:spacing w:val="-4"/>
          <w:szCs w:val="28"/>
        </w:rPr>
        <w:t xml:space="preserve">овых работ, отсутствием сведени</w:t>
      </w:r>
      <w:r>
        <w:rPr>
          <w:bCs/>
          <w:color w:val="000000" w:themeColor="text1"/>
          <w:spacing w:val="-4"/>
          <w:szCs w:val="28"/>
        </w:rPr>
        <w:t xml:space="preserve">й о местоположении границ земельного участка </w:t>
      </w:r>
      <w:r>
        <w:rPr>
          <w:bCs/>
          <w:color w:val="000000" w:themeColor="text1"/>
          <w:spacing w:val="-4"/>
          <w:szCs w:val="28"/>
        </w:rPr>
        <w:t xml:space="preserve">                                         </w:t>
      </w:r>
      <w:r>
        <w:rPr>
          <w:bCs/>
          <w:color w:val="000000" w:themeColor="text1"/>
          <w:spacing w:val="-4"/>
          <w:szCs w:val="28"/>
        </w:rPr>
        <w:t xml:space="preserve"> и его фактической площади.</w:t>
      </w:r>
      <w:r>
        <w:rPr>
          <w:bCs/>
          <w:color w:val="000000" w:themeColor="text1"/>
          <w:spacing w:val="-4"/>
          <w:szCs w:val="28"/>
        </w:rPr>
      </w:r>
    </w:p>
    <w:p>
      <w:pPr>
        <w:jc w:val="both"/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</w:r>
      <w:r>
        <w:rPr>
          <w:bCs/>
          <w:color w:val="000000" w:themeColor="text1"/>
          <w:spacing w:val="-4"/>
          <w:szCs w:val="28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Федеральной службой государственной регистрации, кадастра и картографии создан сервис для самостоятельной оценки соблюдения обязательных требований, который ориентирован на правообладателей земельных участков</w:t>
      </w:r>
      <w:r>
        <w:rPr>
          <w:color w:val="000000" w:themeColor="text1"/>
        </w:rPr>
        <w:t xml:space="preserve"> </w:t>
      </w:r>
      <w:r>
        <w:rPr>
          <w:color w:val="000000" w:themeColor="text1"/>
        </w:rPr>
        <w:t xml:space="preserve">и землепользователей.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Сервис предназначен для самостоятельной оценки соблюдения обязательных требований земельного законодательства без осуществления контрольных (надзорных) мероприятий.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Для проведения самостоятельной оценки соблюдения обязательных требований необходимо указать адрес или кадастровый номер земельного участка.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Для прохождения </w:t>
      </w:r>
      <w:r>
        <w:rPr>
          <w:color w:val="000000" w:themeColor="text1"/>
        </w:rPr>
        <w:t xml:space="preserve">самообследования</w:t>
      </w:r>
      <w:r>
        <w:rPr>
          <w:color w:val="000000" w:themeColor="text1"/>
        </w:rPr>
        <w:t xml:space="preserve"> необходимо зайти на официальный </w:t>
      </w:r>
      <w:r>
        <w:rPr>
          <w:color w:val="000000" w:themeColor="text1"/>
        </w:rPr>
        <w:t xml:space="preserve">сайт </w:t>
      </w:r>
      <w:r>
        <w:rPr>
          <w:color w:val="000000" w:themeColor="text1"/>
        </w:rPr>
        <w:t xml:space="preserve">Росреестра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раздел «Деятельность - Государственный надзор - Государственный земельный надзор»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в подраздел «Самостоятельная оценка собл</w:t>
      </w:r>
      <w:r>
        <w:rPr>
          <w:color w:val="000000" w:themeColor="text1"/>
        </w:rPr>
        <w:t xml:space="preserve">юдения обязательных </w:t>
      </w:r>
      <w:r>
        <w:rPr>
          <w:color w:val="000000" w:themeColor="text1"/>
        </w:rPr>
        <w:t xml:space="preserve">требований».</w:t>
      </w:r>
      <w:r>
        <w:rPr>
          <w:color w:val="000000" w:themeColor="text1"/>
        </w:rPr>
        <w:br/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Сервис для самостоятельной оценки соблюдения обязательных требований доступен как лицам, авторизовавшимся в личном кабинете официального сайта </w:t>
      </w:r>
      <w:r>
        <w:rPr>
          <w:color w:val="000000" w:themeColor="text1"/>
        </w:rPr>
        <w:t xml:space="preserve">Росреестра</w:t>
      </w:r>
      <w:r>
        <w:rPr>
          <w:color w:val="000000" w:themeColor="text1"/>
        </w:rPr>
        <w:t xml:space="preserve">, так и лицам без авторизации.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Кроме того, одним из мероприятий профилактической работы является консультирование.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 ходе проведения консультирования контролируемым лицам </w:t>
      </w:r>
      <w:r>
        <w:rPr>
          <w:color w:val="000000" w:themeColor="text1"/>
        </w:rPr>
        <w:t xml:space="preserve">разъясняются обязательные требования земельного законодательства, порядок осуществления государственным инспектором по использованию и охране земель  контрольных (надзорных) мероприятий, порядок обжалования действий (бездействий) должностных лиц ведомства.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Важно отметить, что информация, ставшая известной в ходе  проведения консультирования, не </w:t>
      </w:r>
      <w:r>
        <w:rPr>
          <w:color w:val="000000" w:themeColor="text1"/>
        </w:rPr>
        <w:t xml:space="preserve">может быть </w:t>
      </w:r>
      <w:r>
        <w:rPr>
          <w:color w:val="000000" w:themeColor="text1"/>
        </w:rPr>
        <w:t xml:space="preserve">использ</w:t>
      </w:r>
      <w:r>
        <w:rPr>
          <w:color w:val="000000" w:themeColor="text1"/>
        </w:rPr>
        <w:t xml:space="preserve">ована</w:t>
      </w:r>
      <w:r>
        <w:rPr>
          <w:color w:val="000000" w:themeColor="text1"/>
        </w:rPr>
        <w:t xml:space="preserve"> должностным лицом </w:t>
      </w:r>
      <w:r>
        <w:rPr>
          <w:color w:val="000000" w:themeColor="text1"/>
        </w:rPr>
        <w:t xml:space="preserve">в целях оценки контролируемого лица по вопросам соблюдения обязательных требований.</w:t>
      </w:r>
      <w:r>
        <w:rPr>
          <w:color w:val="000000" w:themeColor="text1"/>
        </w:rPr>
      </w:r>
    </w:p>
    <w:p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57825" cy="5457825"/>
                <wp:effectExtent l="0" t="0" r="9525" b="952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нарушения треб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61035" cy="5461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9.75pt;height:429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spacing w:after="200" w:line="276" w:lineRule="auto"/>
        <w:rPr>
          <w:color w:val="000000"/>
          <w:shd w:val="clear" w:color="auto" w:fill="ffffff"/>
        </w:rPr>
      </w:pPr>
      <w:r>
        <w:rPr>
          <w:rFonts w:eastAsia="Calibri"/>
          <w:b/>
          <w:sz w:val="22"/>
          <w:szCs w:val="22"/>
          <w:lang w:eastAsia="sk-SK"/>
        </w:rPr>
        <w:t xml:space="preserve">Об Управлении Росреестра по Алтайскому краю</w:t>
      </w:r>
      <w:r>
        <w:rPr>
          <w:color w:val="000000"/>
          <w:shd w:val="clear" w:color="auto" w:fill="ffffff"/>
        </w:rPr>
      </w:r>
    </w:p>
    <w:p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r>
        <w:rPr>
          <w:rFonts w:eastAsia="Calibri"/>
          <w:sz w:val="22"/>
          <w:szCs w:val="22"/>
          <w:lang w:eastAsia="en-US"/>
        </w:rPr>
        <w:t xml:space="preserve">Росреестра</w:t>
      </w:r>
      <w:r>
        <w:rPr>
          <w:rFonts w:eastAsia="Calibri"/>
          <w:sz w:val="22"/>
          <w:szCs w:val="22"/>
          <w:lang w:eastAsia="en-US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r>
        <w:rPr>
          <w:rFonts w:eastAsia="Calibri"/>
          <w:sz w:val="22"/>
          <w:szCs w:val="22"/>
          <w:lang w:eastAsia="en-US"/>
        </w:rPr>
        <w:t xml:space="preserve">Росреестр</w:t>
      </w:r>
      <w:r>
        <w:rPr>
          <w:rFonts w:eastAsia="Calibri"/>
          <w:sz w:val="22"/>
          <w:szCs w:val="22"/>
          <w:lang w:eastAsia="en-US"/>
        </w:rPr>
        <w:t xml:space="preserve">), осуществляющим функции по государственной регистрации пр</w:t>
      </w:r>
      <w:r>
        <w:rPr>
          <w:rFonts w:eastAsia="Calibri"/>
          <w:sz w:val="22"/>
          <w:szCs w:val="22"/>
          <w:lang w:eastAsia="en-US"/>
        </w:rPr>
        <w:t xml:space="preserve">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r>
        <w:rPr>
          <w:rFonts w:eastAsia="Calibri"/>
          <w:sz w:val="22"/>
          <w:szCs w:val="22"/>
          <w:lang w:eastAsia="en-US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</w:t>
      </w:r>
      <w:r>
        <w:rPr>
          <w:rFonts w:eastAsia="Calibri"/>
          <w:sz w:val="22"/>
          <w:szCs w:val="22"/>
          <w:lang w:eastAsia="en-US"/>
        </w:rPr>
        <w:t xml:space="preserve">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r>
        <w:rPr>
          <w:rFonts w:eastAsia="Calibri"/>
          <w:sz w:val="22"/>
          <w:szCs w:val="22"/>
          <w:lang w:eastAsia="en-US"/>
        </w:rPr>
        <w:t xml:space="preserve">Роскадастра</w:t>
      </w:r>
      <w:r>
        <w:rPr>
          <w:rFonts w:eastAsia="Calibri"/>
          <w:sz w:val="22"/>
          <w:szCs w:val="22"/>
          <w:lang w:eastAsia="en-US"/>
        </w:rPr>
        <w:t xml:space="preserve">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eastAsia="Calibri"/>
          <w:sz w:val="22"/>
          <w:szCs w:val="22"/>
          <w:lang w:eastAsia="en-US"/>
        </w:rPr>
      </w:r>
    </w:p>
    <w:p>
      <w:pPr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>
        <w:rPr>
          <w:rFonts w:eastAsia="Calibri"/>
          <w:b/>
          <w:sz w:val="20"/>
          <w:lang w:eastAsia="sk-SK"/>
        </w:rPr>
      </w:r>
    </w:p>
    <w:p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Пресс-секретарь Управления </w:t>
      </w:r>
      <w:r>
        <w:rPr>
          <w:rFonts w:eastAsia="Calibri"/>
          <w:sz w:val="20"/>
          <w:lang w:eastAsia="en-US"/>
        </w:rPr>
        <w:t xml:space="preserve">Росреестра</w:t>
      </w:r>
      <w:r>
        <w:rPr>
          <w:rFonts w:eastAsia="Calibri"/>
          <w:sz w:val="20"/>
          <w:lang w:eastAsia="en-US"/>
        </w:rPr>
        <w:t xml:space="preserve"> по Алтайскому краю</w:t>
      </w:r>
      <w:r>
        <w:rPr>
          <w:rFonts w:eastAsia="Calibri"/>
          <w:sz w:val="20"/>
          <w:lang w:eastAsia="en-US"/>
        </w:rPr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>
        <w:rPr>
          <w:rFonts w:eastAsia="Calibri"/>
          <w:sz w:val="20"/>
          <w:lang w:eastAsia="en-US"/>
        </w:rPr>
      </w:r>
    </w:p>
    <w:p>
      <w:pPr>
        <w:rPr>
          <w:rFonts w:eastAsia="Calibri"/>
          <w:sz w:val="20"/>
          <w:lang w:eastAsia="en-US"/>
        </w:rPr>
      </w:pPr>
      <w:r/>
      <w:hyperlink r:id="rId11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</w:t>
      </w:r>
      <w:r>
        <w:rPr>
          <w:rFonts w:eastAsia="Calibri"/>
          <w:sz w:val="20"/>
          <w:lang w:eastAsia="en-US"/>
        </w:rPr>
        <w:t xml:space="preserve">Советская</w:t>
      </w:r>
      <w:r>
        <w:rPr>
          <w:rFonts w:eastAsia="Calibri"/>
          <w:sz w:val="20"/>
          <w:lang w:eastAsia="en-US"/>
        </w:rPr>
        <w:t xml:space="preserve">, д. 16</w:t>
      </w:r>
      <w:r>
        <w:rPr>
          <w:rFonts w:eastAsia="Calibri"/>
          <w:sz w:val="20"/>
          <w:lang w:eastAsia="en-US"/>
        </w:rPr>
      </w:r>
    </w:p>
    <w:p>
      <w:pPr>
        <w:rPr>
          <w:rFonts w:eastAsia="Calibri"/>
          <w:color w:val="0000ff"/>
          <w:sz w:val="20"/>
          <w:u w:val="single"/>
          <w:shd w:val="clear" w:color="auto" w:fill="ffffff"/>
        </w:rPr>
      </w:pPr>
      <w:r>
        <w:rPr>
          <w:rFonts w:eastAsia="Calibri"/>
          <w:sz w:val="20"/>
          <w:lang w:eastAsia="en-US"/>
        </w:rPr>
        <w:t xml:space="preserve">Сайт </w:t>
      </w:r>
      <w:r>
        <w:rPr>
          <w:rFonts w:eastAsia="Calibri"/>
          <w:sz w:val="20"/>
          <w:lang w:eastAsia="en-US"/>
        </w:rPr>
        <w:t xml:space="preserve">Росреестра</w:t>
      </w:r>
      <w:r>
        <w:rPr>
          <w:rFonts w:eastAsia="Calibri"/>
          <w:sz w:val="20"/>
          <w:lang w:eastAsia="en-US"/>
        </w:rPr>
        <w:t xml:space="preserve">:</w:t>
      </w:r>
      <w:r>
        <w:rPr>
          <w:sz w:val="20"/>
        </w:rPr>
        <w:t xml:space="preserve"> </w:t>
      </w:r>
      <w:hyperlink r:id="rId12" w:tooltip="http://www.rosreestr.gov.ru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3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>
        <w:rPr>
          <w:rFonts w:eastAsia="Calibri"/>
          <w:color w:val="0000ff"/>
          <w:sz w:val="20"/>
          <w:u w:val="single"/>
          <w:shd w:val="clear" w:color="auto" w:fill="ffffff"/>
        </w:rPr>
      </w:r>
    </w:p>
    <w:p>
      <w:pPr>
        <w:rPr>
          <w:rFonts w:eastAsia="Calibri"/>
          <w:color w:val="0000ff"/>
          <w:sz w:val="20"/>
          <w:u w:val="single"/>
          <w:shd w:val="clear" w:color="auto" w:fill="ffffff"/>
        </w:rPr>
      </w:pPr>
      <w:r>
        <w:rPr>
          <w:rFonts w:eastAsia="Calibri"/>
          <w:sz w:val="20"/>
          <w:lang w:eastAsia="en-US"/>
        </w:rPr>
        <w:t xml:space="preserve">ВКонтакте</w:t>
      </w:r>
      <w:r>
        <w:rPr>
          <w:rFonts w:eastAsia="Calibri"/>
          <w:sz w:val="20"/>
          <w:lang w:eastAsia="en-US"/>
        </w:rPr>
        <w:t xml:space="preserve">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r>
        <w:rPr>
          <w:rFonts w:eastAsia="Calibri"/>
          <w:color w:val="0000ff"/>
          <w:sz w:val="20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Телеграм</w:t>
      </w:r>
      <w:r>
        <w:rPr>
          <w:rFonts w:eastAsia="Calibri"/>
          <w:sz w:val="20"/>
          <w:lang w:eastAsia="en-US"/>
        </w:rPr>
        <w:t xml:space="preserve">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>
        <w:rPr>
          <w:rFonts w:eastAsia="Calibri"/>
          <w:color w:val="0000ff"/>
          <w:sz w:val="20"/>
          <w:u w:val="single"/>
          <w:shd w:val="clear" w:color="auto" w:fill="ffffff"/>
        </w:rPr>
      </w:r>
    </w:p>
    <w:p>
      <w:pPr>
        <w:rPr>
          <w:rFonts w:eastAsia="Calibri"/>
          <w:color w:val="0000ff"/>
          <w:sz w:val="20"/>
          <w:u w:val="single"/>
          <w:shd w:val="clear" w:color="auto" w:fill="ffffff"/>
        </w:rPr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>
        <w:rPr>
          <w:rFonts w:eastAsia="Calibri"/>
          <w:color w:val="0000ff"/>
          <w:sz w:val="20"/>
          <w:u w:val="single"/>
          <w:shd w:val="clear" w:color="auto" w:fill="ffffff"/>
        </w:rPr>
      </w:r>
    </w:p>
    <w:p>
      <w:pPr>
        <w:jc w:val="both"/>
        <w:tabs>
          <w:tab w:val="left" w:pos="720" w:leader="none"/>
        </w:tabs>
        <w:rPr>
          <w:color w:val="000000" w:themeColor="text1"/>
          <w:sz w:val="21"/>
          <w:szCs w:val="21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color w:val="000000" w:themeColor="text1"/>
          <w:sz w:val="21"/>
          <w:szCs w:val="21"/>
        </w:rPr>
      </w:r>
    </w:p>
    <w:p>
      <w:pPr>
        <w:pStyle w:val="669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</w:r>
      <w:r>
        <w:rPr>
          <w:rFonts w:ascii="Arial" w:hAnsi="Arial" w:cs="Arial"/>
          <w:color w:val="111111"/>
          <w:sz w:val="21"/>
          <w:szCs w:val="21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5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60"/>
    <w:uiPriority w:val="99"/>
  </w:style>
  <w:style w:type="character" w:styleId="45">
    <w:name w:val="Footer Char"/>
    <w:basedOn w:val="655"/>
    <w:link w:val="662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2"/>
    <w:uiPriority w:val="99"/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6"/>
    <w:uiPriority w:val="99"/>
    <w:rPr>
      <w:sz w:val="18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rPr>
      <w:rFonts w:ascii="Times New Roman" w:hAnsi="Times New Roman" w:eastAsia="Times New Roman"/>
      <w:sz w:val="28"/>
    </w:rPr>
  </w:style>
  <w:style w:type="paragraph" w:styleId="654">
    <w:name w:val="Heading 4"/>
    <w:basedOn w:val="653"/>
    <w:link w:val="673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>
    <w:name w:val="Body Text"/>
    <w:basedOn w:val="653"/>
    <w:link w:val="659"/>
    <w:pPr>
      <w:spacing w:after="120"/>
    </w:pPr>
  </w:style>
  <w:style w:type="character" w:styleId="659" w:customStyle="1">
    <w:name w:val="Основной текст Знак"/>
    <w:link w:val="658"/>
    <w:rPr>
      <w:rFonts w:ascii="Times New Roman" w:hAnsi="Times New Roman" w:eastAsia="Times New Roman"/>
      <w:sz w:val="28"/>
    </w:rPr>
  </w:style>
  <w:style w:type="paragraph" w:styleId="660">
    <w:name w:val="Header"/>
    <w:basedOn w:val="653"/>
    <w:link w:val="6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1" w:customStyle="1">
    <w:name w:val="Верхний колонтитул Знак"/>
    <w:link w:val="660"/>
    <w:uiPriority w:val="99"/>
    <w:rPr>
      <w:rFonts w:ascii="Times New Roman" w:hAnsi="Times New Roman" w:eastAsia="Times New Roman"/>
      <w:sz w:val="28"/>
    </w:rPr>
  </w:style>
  <w:style w:type="paragraph" w:styleId="662">
    <w:name w:val="Footer"/>
    <w:basedOn w:val="653"/>
    <w:link w:val="663"/>
    <w:unhideWhenUsed/>
    <w:pPr>
      <w:tabs>
        <w:tab w:val="center" w:pos="4677" w:leader="none"/>
        <w:tab w:val="right" w:pos="9355" w:leader="none"/>
      </w:tabs>
    </w:pPr>
  </w:style>
  <w:style w:type="character" w:styleId="663" w:customStyle="1">
    <w:name w:val="Нижний колонтитул Знак"/>
    <w:link w:val="662"/>
    <w:rPr>
      <w:rFonts w:ascii="Times New Roman" w:hAnsi="Times New Roman" w:eastAsia="Times New Roman"/>
      <w:sz w:val="28"/>
    </w:rPr>
  </w:style>
  <w:style w:type="paragraph" w:styleId="664">
    <w:name w:val="Balloon Text"/>
    <w:basedOn w:val="653"/>
    <w:link w:val="665"/>
    <w:uiPriority w:val="99"/>
    <w:semiHidden/>
    <w:unhideWhenUsed/>
    <w:rPr>
      <w:rFonts w:ascii="Tahoma" w:hAnsi="Tahoma" w:cs="Tahoma"/>
      <w:sz w:val="16"/>
      <w:szCs w:val="16"/>
    </w:rPr>
  </w:style>
  <w:style w:type="character" w:styleId="665" w:customStyle="1">
    <w:name w:val="Текст выноски Знак"/>
    <w:link w:val="664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666">
    <w:name w:val="footnote text"/>
    <w:basedOn w:val="653"/>
    <w:link w:val="667"/>
    <w:unhideWhenUsed/>
    <w:qFormat/>
    <w:rPr>
      <w:sz w:val="20"/>
    </w:rPr>
  </w:style>
  <w:style w:type="character" w:styleId="667" w:customStyle="1">
    <w:name w:val="Текст сноски Знак"/>
    <w:basedOn w:val="655"/>
    <w:link w:val="666"/>
    <w:rPr>
      <w:rFonts w:ascii="Times New Roman" w:hAnsi="Times New Roman" w:eastAsia="Times New Roman"/>
    </w:rPr>
  </w:style>
  <w:style w:type="character" w:styleId="668">
    <w:name w:val="footnote reference"/>
    <w:basedOn w:val="655"/>
    <w:unhideWhenUsed/>
    <w:qFormat/>
    <w:rPr>
      <w:vertAlign w:val="superscript"/>
    </w:rPr>
  </w:style>
  <w:style w:type="paragraph" w:styleId="669">
    <w:name w:val="Normal (Web)"/>
    <w:basedOn w:val="653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670">
    <w:name w:val="Hyperlink"/>
    <w:basedOn w:val="655"/>
    <w:uiPriority w:val="99"/>
    <w:semiHidden/>
    <w:unhideWhenUsed/>
    <w:rPr>
      <w:color w:val="0000ff"/>
      <w:u w:val="single"/>
    </w:rPr>
  </w:style>
  <w:style w:type="character" w:styleId="671">
    <w:name w:val="Strong"/>
    <w:basedOn w:val="655"/>
    <w:uiPriority w:val="22"/>
    <w:qFormat/>
    <w:rPr>
      <w:b/>
      <w:bCs/>
    </w:rPr>
  </w:style>
  <w:style w:type="paragraph" w:styleId="672">
    <w:name w:val="List Paragraph"/>
    <w:basedOn w:val="653"/>
    <w:uiPriority w:val="34"/>
    <w:qFormat/>
    <w:pPr>
      <w:contextualSpacing/>
      <w:ind w:left="720"/>
    </w:pPr>
  </w:style>
  <w:style w:type="character" w:styleId="673" w:customStyle="1">
    <w:name w:val="Заголовок 4 Знак"/>
    <w:basedOn w:val="655"/>
    <w:link w:val="654"/>
    <w:uiPriority w:val="9"/>
    <w:rPr>
      <w:rFonts w:ascii="Times New Roman" w:hAnsi="Times New Roman" w:eastAsia="Times New Roman"/>
      <w:b/>
      <w:bCs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F879-2864-4A28-BB8F-4973D806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revision>3</cp:revision>
  <dcterms:created xsi:type="dcterms:W3CDTF">2024-10-18T06:32:00Z</dcterms:created>
  <dcterms:modified xsi:type="dcterms:W3CDTF">2024-10-28T09:06:15Z</dcterms:modified>
</cp:coreProperties>
</file>