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3E" w:rsidRDefault="00E846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8725" cy="5038725"/>
            <wp:effectExtent l="19050" t="0" r="9525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63E" w:rsidRDefault="00E846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</w:rPr>
      </w:pPr>
    </w:p>
    <w:p w:rsidR="0039601A" w:rsidRDefault="004B1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</w:rPr>
        <w:t xml:space="preserve"> разъясняет 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highlight w:val="white"/>
        </w:rPr>
        <w:t>равовые аспекты и последствия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неиспользования земельных участков </w:t>
      </w:r>
    </w:p>
    <w:p w:rsidR="0039601A" w:rsidRDefault="00396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01A" w:rsidRDefault="004B1B4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вступлением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марта 2025 г</w:t>
      </w:r>
      <w:r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статьи 85.1 Земельного кодекса РФ «</w:t>
      </w:r>
      <w:r>
        <w:rPr>
          <w:rFonts w:ascii="Times New Roman" w:hAnsi="Times New Roman" w:cs="Times New Roman"/>
          <w:sz w:val="28"/>
          <w:szCs w:val="28"/>
        </w:rPr>
        <w:t>Освоение земельных участков из состава земель населенных пунктов и их использо</w:t>
      </w:r>
      <w:r>
        <w:rPr>
          <w:rFonts w:ascii="Times New Roman" w:hAnsi="Times New Roman" w:cs="Times New Roman"/>
          <w:sz w:val="28"/>
          <w:szCs w:val="28"/>
        </w:rPr>
        <w:t>вание»</w:t>
      </w:r>
      <w:r>
        <w:rPr>
          <w:rFonts w:ascii="Times New Roman" w:hAnsi="Times New Roman" w:cs="Times New Roman"/>
          <w:sz w:val="28"/>
          <w:szCs w:val="28"/>
        </w:rPr>
        <w:t xml:space="preserve"> в некоторых СМИ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появляться недостоверная информация о том, что со дня вступления в силу данной статьи неиспользуемые участки будут изыматься и</w:t>
      </w:r>
      <w:r>
        <w:rPr>
          <w:rFonts w:ascii="Times New Roman" w:hAnsi="Times New Roman" w:cs="Times New Roman"/>
          <w:sz w:val="28"/>
          <w:szCs w:val="28"/>
        </w:rPr>
        <w:t>з частной собственности.</w:t>
      </w:r>
      <w:proofErr w:type="gramEnd"/>
    </w:p>
    <w:p w:rsidR="0039601A" w:rsidRDefault="004B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разъясняет механизм действия ст. 85.1 </w:t>
      </w:r>
      <w:r>
        <w:rPr>
          <w:rFonts w:ascii="Times New Roman" w:hAnsi="Times New Roman" w:cs="Times New Roman"/>
          <w:sz w:val="28"/>
          <w:szCs w:val="28"/>
        </w:rPr>
        <w:t>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9601A" w:rsidRDefault="004B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статьи распространяется на участки, расположенные в границах населенных пунктов, а также садовые и огородные земельные у</w:t>
      </w:r>
      <w:r>
        <w:rPr>
          <w:rFonts w:ascii="Times New Roman" w:hAnsi="Times New Roman" w:cs="Times New Roman"/>
          <w:sz w:val="28"/>
          <w:szCs w:val="28"/>
        </w:rPr>
        <w:t xml:space="preserve">частки независимо от категории земель. </w:t>
      </w:r>
    </w:p>
    <w:p w:rsidR="0039601A" w:rsidRDefault="004B1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Нормой закона, предусматривающей возможность изъятия земельного участка в случае неиспользования по целевому назначению в течение установленного срока, является ст. 284 Гражданского кодекса РФ, которая существует 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30 лет. </w:t>
      </w:r>
    </w:p>
    <w:p w:rsidR="0039601A" w:rsidRDefault="004B1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Ст. 284 Гражданского кодекса установлено, что земельный участок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 у собственника, когда он предназначен и не используется для ведения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хозяйства либо жилищного или иного строительства в течение трех лет, и в этот период не включается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время, необходимое для освоения участка.</w:t>
      </w:r>
    </w:p>
    <w:p w:rsidR="0039601A" w:rsidRDefault="004B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1 марта 2025 года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время, нео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бходимое для освоения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 установлено законодательно, равно как и само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освоение участка. </w:t>
      </w:r>
    </w:p>
    <w:p w:rsidR="0039601A" w:rsidRDefault="004B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изменения земельного кодекса в первую очередь касаются проблемных участков, которые заболочены, заброшены, захламлены или заросли сорняками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Новая статья Земельного кодекса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создает механизм воздействия на лиц, которые годами не используют свои земельные участки, заявляя, что им нужно время для освоения земли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601A" w:rsidRDefault="004B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Ст. 85.1 Земельного кодекса РФ устанавливает понятие освоения земельного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участка, его срок, а также предусматривает утверждение Правительством РФ перечня мероприятий для освоения и признаки неиспользования земельных участков, в т.ч. применяемые  при осуществлении государственного или муниципального земельного контроля (надзора)</w:t>
      </w:r>
      <w:r>
        <w:rPr>
          <w:rFonts w:ascii="Times New Roman" w:eastAsia="Times New Roman" w:hAnsi="Times New Roman" w:cs="Times New Roman"/>
          <w:sz w:val="28"/>
          <w:szCs w:val="28"/>
        </w:rPr>
        <w:t>. Новые основания для изъятия, а также новые виды наказаний не вводятся.</w:t>
      </w:r>
    </w:p>
    <w:p w:rsidR="0039601A" w:rsidRDefault="004B1B4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Изъятие неосвоенного земельного участка, как и ранее, будет являться крайней мерой. Даже при нарушении установленного трехлетнего срока на освоение землю не изымут автоматически.</w:t>
      </w:r>
    </w:p>
    <w:p w:rsidR="0039601A" w:rsidRDefault="004B1B4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sz w:val="28"/>
          <w:szCs w:val="28"/>
        </w:rPr>
        <w:t>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 законным основаниям при осуществлении государственного земельного контроля (надзора), государственным инспектором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 установлено неиспользование земельного участка по целевому назначению по окончанию срока освоения с учетом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неиспользования, установленных постановлением Правительства РФ, собственнику будет вынесено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предписание об устранении этого нарушения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 При наличии уважительных причин срок для устранения нарушения, установленный предписанием, можн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будет продлить. </w:t>
      </w:r>
    </w:p>
    <w:p w:rsidR="0039601A" w:rsidRDefault="004B1B4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же собственник будет игнорировать предписание, не исправит ситуацию в установленный в срок,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уведомит об этом уполномоченный орган государственной власти или местного самоуправления. Далее эти органы могут обратиться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>уд с требованием об изъятии земельных участков в связи с их ненадлежащим использованием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 их продаже с публичных торгов. </w:t>
      </w:r>
    </w:p>
    <w:p w:rsidR="0039601A" w:rsidRDefault="004B1B4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изъятия земельного участка средства, вырученные от его продажи  с публичных торгов, выплачиваются его бывшему со</w:t>
      </w:r>
      <w:r>
        <w:rPr>
          <w:rFonts w:ascii="Times New Roman" w:eastAsia="Times New Roman" w:hAnsi="Times New Roman" w:cs="Times New Roman"/>
          <w:sz w:val="28"/>
          <w:szCs w:val="28"/>
        </w:rPr>
        <w:t>бственнику за вычетом расходов на подготовку и проведение торгов.</w:t>
      </w:r>
    </w:p>
    <w:p w:rsidR="0039601A" w:rsidRDefault="004B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государства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нет и никогда не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задачи изъять участок из частной собственности. Главная цель мартовских поправок - стимулировать граждан возвращаться на брошенные ими земельные участки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решать их судьбу, как и предписано правообладателям - осваивать и использовать, или продавать их, если они им не нужны.</w:t>
      </w:r>
    </w:p>
    <w:p w:rsidR="0039601A" w:rsidRDefault="00396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01A" w:rsidRDefault="00396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39601A" w:rsidRDefault="0039601A">
      <w:pPr>
        <w:spacing w:after="0" w:line="240" w:lineRule="auto"/>
        <w:ind w:firstLine="709"/>
        <w:jc w:val="both"/>
      </w:pPr>
    </w:p>
    <w:p w:rsidR="0039601A" w:rsidRDefault="00396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01A" w:rsidRDefault="00396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601A" w:rsidSect="0039601A">
      <w:pgSz w:w="11906" w:h="16838"/>
      <w:pgMar w:top="873" w:right="566" w:bottom="1440" w:left="1133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4E" w:rsidRDefault="004B1B4E">
      <w:pPr>
        <w:spacing w:after="0" w:line="240" w:lineRule="auto"/>
      </w:pPr>
      <w:r>
        <w:separator/>
      </w:r>
    </w:p>
  </w:endnote>
  <w:endnote w:type="continuationSeparator" w:id="0">
    <w:p w:rsidR="004B1B4E" w:rsidRDefault="004B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4E" w:rsidRDefault="004B1B4E">
      <w:pPr>
        <w:spacing w:after="0" w:line="240" w:lineRule="auto"/>
      </w:pPr>
      <w:r>
        <w:separator/>
      </w:r>
    </w:p>
  </w:footnote>
  <w:footnote w:type="continuationSeparator" w:id="0">
    <w:p w:rsidR="004B1B4E" w:rsidRDefault="004B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6D0"/>
    <w:multiLevelType w:val="hybridMultilevel"/>
    <w:tmpl w:val="9D2E7DD8"/>
    <w:lvl w:ilvl="0" w:tplc="3DCC2E6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AD4516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65252C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C78572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4E26C2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520325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11C7C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49012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1F2A8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4C650150"/>
    <w:multiLevelType w:val="hybridMultilevel"/>
    <w:tmpl w:val="EB46861E"/>
    <w:lvl w:ilvl="0" w:tplc="915AD40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090B98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3AB7F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7E6183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77019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8864B4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17447A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60CBC7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844652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75E93801"/>
    <w:multiLevelType w:val="hybridMultilevel"/>
    <w:tmpl w:val="7B107B20"/>
    <w:lvl w:ilvl="0" w:tplc="07EC3E3A">
      <w:start w:val="1"/>
      <w:numFmt w:val="decimal"/>
      <w:lvlText w:val="%1."/>
      <w:lvlJc w:val="right"/>
      <w:pPr>
        <w:ind w:left="709" w:hanging="360"/>
      </w:pPr>
    </w:lvl>
    <w:lvl w:ilvl="1" w:tplc="BF7A4800">
      <w:start w:val="1"/>
      <w:numFmt w:val="decimal"/>
      <w:lvlText w:val="%2."/>
      <w:lvlJc w:val="right"/>
      <w:pPr>
        <w:ind w:left="1429" w:hanging="360"/>
      </w:pPr>
    </w:lvl>
    <w:lvl w:ilvl="2" w:tplc="9362BD86">
      <w:start w:val="1"/>
      <w:numFmt w:val="decimal"/>
      <w:lvlText w:val="%3."/>
      <w:lvlJc w:val="right"/>
      <w:pPr>
        <w:ind w:left="2149" w:hanging="180"/>
      </w:pPr>
    </w:lvl>
    <w:lvl w:ilvl="3" w:tplc="5680C2B8">
      <w:start w:val="1"/>
      <w:numFmt w:val="decimal"/>
      <w:lvlText w:val="%4."/>
      <w:lvlJc w:val="right"/>
      <w:pPr>
        <w:ind w:left="2869" w:hanging="360"/>
      </w:pPr>
    </w:lvl>
    <w:lvl w:ilvl="4" w:tplc="B336BFC6">
      <w:start w:val="1"/>
      <w:numFmt w:val="decimal"/>
      <w:lvlText w:val="%5."/>
      <w:lvlJc w:val="right"/>
      <w:pPr>
        <w:ind w:left="3589" w:hanging="360"/>
      </w:pPr>
    </w:lvl>
    <w:lvl w:ilvl="5" w:tplc="C3C02532">
      <w:start w:val="1"/>
      <w:numFmt w:val="decimal"/>
      <w:lvlText w:val="%6."/>
      <w:lvlJc w:val="right"/>
      <w:pPr>
        <w:ind w:left="4309" w:hanging="180"/>
      </w:pPr>
    </w:lvl>
    <w:lvl w:ilvl="6" w:tplc="67BCF3E6">
      <w:start w:val="1"/>
      <w:numFmt w:val="decimal"/>
      <w:lvlText w:val="%7."/>
      <w:lvlJc w:val="right"/>
      <w:pPr>
        <w:ind w:left="5029" w:hanging="360"/>
      </w:pPr>
    </w:lvl>
    <w:lvl w:ilvl="7" w:tplc="6616B502">
      <w:start w:val="1"/>
      <w:numFmt w:val="decimal"/>
      <w:lvlText w:val="%8."/>
      <w:lvlJc w:val="right"/>
      <w:pPr>
        <w:ind w:left="5749" w:hanging="360"/>
      </w:pPr>
    </w:lvl>
    <w:lvl w:ilvl="8" w:tplc="A8122C7A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01A"/>
    <w:rsid w:val="0039601A"/>
    <w:rsid w:val="004B1B4E"/>
    <w:rsid w:val="00E8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9601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9601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601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9601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60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9601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60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601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601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601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601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9601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60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9601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601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9601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60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601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9601A"/>
    <w:pPr>
      <w:ind w:left="720"/>
      <w:contextualSpacing/>
    </w:pPr>
  </w:style>
  <w:style w:type="paragraph" w:styleId="a4">
    <w:name w:val="No Spacing"/>
    <w:uiPriority w:val="1"/>
    <w:qFormat/>
    <w:rsid w:val="0039601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9601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9601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9601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9601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9601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601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960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9601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9601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9601A"/>
  </w:style>
  <w:style w:type="paragraph" w:customStyle="1" w:styleId="Footer">
    <w:name w:val="Footer"/>
    <w:basedOn w:val="a"/>
    <w:link w:val="CaptionChar"/>
    <w:uiPriority w:val="99"/>
    <w:unhideWhenUsed/>
    <w:rsid w:val="0039601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9601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601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601A"/>
  </w:style>
  <w:style w:type="table" w:styleId="ab">
    <w:name w:val="Table Grid"/>
    <w:basedOn w:val="a1"/>
    <w:uiPriority w:val="59"/>
    <w:rsid w:val="003960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960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60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96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6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6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9601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9601A"/>
    <w:rPr>
      <w:sz w:val="18"/>
    </w:rPr>
  </w:style>
  <w:style w:type="character" w:styleId="ae">
    <w:name w:val="footnote reference"/>
    <w:basedOn w:val="a0"/>
    <w:uiPriority w:val="99"/>
    <w:unhideWhenUsed/>
    <w:rsid w:val="0039601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9601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9601A"/>
    <w:rPr>
      <w:sz w:val="20"/>
    </w:rPr>
  </w:style>
  <w:style w:type="character" w:styleId="af1">
    <w:name w:val="endnote reference"/>
    <w:basedOn w:val="a0"/>
    <w:uiPriority w:val="99"/>
    <w:semiHidden/>
    <w:unhideWhenUsed/>
    <w:rsid w:val="0039601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9601A"/>
    <w:pPr>
      <w:spacing w:after="57"/>
    </w:pPr>
  </w:style>
  <w:style w:type="paragraph" w:styleId="21">
    <w:name w:val="toc 2"/>
    <w:basedOn w:val="a"/>
    <w:next w:val="a"/>
    <w:uiPriority w:val="39"/>
    <w:unhideWhenUsed/>
    <w:rsid w:val="0039601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601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601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601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601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601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601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601A"/>
    <w:pPr>
      <w:spacing w:after="57"/>
      <w:ind w:left="2268"/>
    </w:pPr>
  </w:style>
  <w:style w:type="paragraph" w:styleId="af2">
    <w:name w:val="TOC Heading"/>
    <w:uiPriority w:val="39"/>
    <w:unhideWhenUsed/>
    <w:rsid w:val="0039601A"/>
  </w:style>
  <w:style w:type="paragraph" w:styleId="af3">
    <w:name w:val="table of figures"/>
    <w:basedOn w:val="a"/>
    <w:next w:val="a"/>
    <w:uiPriority w:val="99"/>
    <w:unhideWhenUsed/>
    <w:rsid w:val="0039601A"/>
    <w:pPr>
      <w:spacing w:after="0"/>
    </w:pPr>
  </w:style>
  <w:style w:type="character" w:styleId="af4">
    <w:name w:val="Hyperlink"/>
    <w:basedOn w:val="a0"/>
    <w:uiPriority w:val="99"/>
    <w:unhideWhenUsed/>
    <w:rsid w:val="0039601A"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8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4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lastModifiedBy>INWIN</cp:lastModifiedBy>
  <cp:revision>13</cp:revision>
  <dcterms:created xsi:type="dcterms:W3CDTF">2024-09-04T04:39:00Z</dcterms:created>
  <dcterms:modified xsi:type="dcterms:W3CDTF">2025-04-02T02:56:00Z</dcterms:modified>
</cp:coreProperties>
</file>