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18" w:rsidRDefault="00C56A18" w:rsidP="00900586">
      <w:pPr>
        <w:jc w:val="center"/>
      </w:pPr>
      <w:r>
        <w:t>Муниципальный контроль в сфере благоустройства</w:t>
      </w:r>
    </w:p>
    <w:p w:rsidR="007A4005" w:rsidRDefault="00C56A18" w:rsidP="00900586">
      <w:pPr>
        <w:jc w:val="center"/>
      </w:pPr>
      <w: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в </w:t>
      </w:r>
      <w:r w:rsidR="00900586">
        <w:t>муниципальном образовании Новоильинский сельсовет Хабарского района Алтайского края</w:t>
      </w:r>
      <w:r>
        <w:t>, а также текстов соответствующих нормативных правовых актов</w:t>
      </w:r>
    </w:p>
    <w:p w:rsidR="00C56A18" w:rsidRDefault="00C56A18"/>
    <w:tbl>
      <w:tblPr>
        <w:tblStyle w:val="a3"/>
        <w:tblW w:w="14850" w:type="dxa"/>
        <w:tblLook w:val="04A0"/>
      </w:tblPr>
      <w:tblGrid>
        <w:gridCol w:w="534"/>
        <w:gridCol w:w="3234"/>
        <w:gridCol w:w="1999"/>
        <w:gridCol w:w="1650"/>
        <w:gridCol w:w="7433"/>
      </w:tblGrid>
      <w:tr w:rsidR="00232CE4" w:rsidTr="00232CE4">
        <w:tc>
          <w:tcPr>
            <w:tcW w:w="534" w:type="dxa"/>
          </w:tcPr>
          <w:p w:rsidR="00C56A18" w:rsidRDefault="00C56A18">
            <w:r>
              <w:t xml:space="preserve">№ </w:t>
            </w:r>
            <w:proofErr w:type="spellStart"/>
            <w:proofErr w:type="gramStart"/>
            <w:r>
              <w:t>п</w:t>
            </w:r>
            <w:proofErr w:type="spellEnd"/>
            <w:proofErr w:type="gramEnd"/>
            <w:r>
              <w:t>/</w:t>
            </w:r>
            <w:proofErr w:type="spellStart"/>
            <w:r>
              <w:t>п</w:t>
            </w:r>
            <w:proofErr w:type="spellEnd"/>
          </w:p>
        </w:tc>
        <w:tc>
          <w:tcPr>
            <w:tcW w:w="3234" w:type="dxa"/>
          </w:tcPr>
          <w:p w:rsidR="00C56A18" w:rsidRDefault="00C56A18">
            <w:r>
              <w:t>Наименование и реквизиты акта</w:t>
            </w:r>
          </w:p>
          <w:p w:rsidR="00C56A18" w:rsidRDefault="00C56A18"/>
        </w:tc>
        <w:tc>
          <w:tcPr>
            <w:tcW w:w="1999" w:type="dxa"/>
          </w:tcPr>
          <w:p w:rsidR="00C56A18" w:rsidRDefault="00C56A18">
            <w:r>
              <w:t>Краткое описание круга лиц и (или) перечня объектов, в отношении которых устанавливаются обязательные требования</w:t>
            </w:r>
          </w:p>
        </w:tc>
        <w:tc>
          <w:tcPr>
            <w:tcW w:w="1650" w:type="dxa"/>
          </w:tcPr>
          <w:p w:rsidR="00C56A18" w:rsidRDefault="00C56A18">
            <w:r>
              <w:t>Указание на структурные единицы акта, соблюдение которых оценивается при проведении мероприятий по контролю</w:t>
            </w:r>
          </w:p>
        </w:tc>
        <w:tc>
          <w:tcPr>
            <w:tcW w:w="7433" w:type="dxa"/>
          </w:tcPr>
          <w:p w:rsidR="00C56A18" w:rsidRDefault="00C56A18">
            <w:r>
              <w:t>Текс</w:t>
            </w:r>
            <w:r w:rsidR="00900586">
              <w:t xml:space="preserve">т </w:t>
            </w:r>
            <w:r>
              <w:t xml:space="preserve"> акта</w:t>
            </w:r>
          </w:p>
        </w:tc>
      </w:tr>
      <w:tr w:rsidR="00900586" w:rsidTr="00B3366E">
        <w:tc>
          <w:tcPr>
            <w:tcW w:w="534" w:type="dxa"/>
          </w:tcPr>
          <w:p w:rsidR="00900586" w:rsidRDefault="00900586"/>
        </w:tc>
        <w:tc>
          <w:tcPr>
            <w:tcW w:w="14316" w:type="dxa"/>
            <w:gridSpan w:val="4"/>
          </w:tcPr>
          <w:p w:rsidR="00900586" w:rsidRDefault="00900586">
            <w:r>
              <w:t>федеральные</w:t>
            </w:r>
          </w:p>
        </w:tc>
      </w:tr>
      <w:tr w:rsidR="00C56A18" w:rsidTr="00232CE4">
        <w:trPr>
          <w:trHeight w:val="1550"/>
        </w:trPr>
        <w:tc>
          <w:tcPr>
            <w:tcW w:w="534" w:type="dxa"/>
            <w:vMerge w:val="restart"/>
          </w:tcPr>
          <w:p w:rsidR="00C56A18" w:rsidRDefault="00C56A18"/>
        </w:tc>
        <w:tc>
          <w:tcPr>
            <w:tcW w:w="3234" w:type="dxa"/>
            <w:vMerge w:val="restart"/>
          </w:tcPr>
          <w:p w:rsidR="00C56A18" w:rsidRDefault="00C56A18">
            <w:r>
              <w:t>Федеральный закон от 10 января 2002 г. № 7-ФЗ "Об охране окружающей среды"</w:t>
            </w:r>
          </w:p>
        </w:tc>
        <w:tc>
          <w:tcPr>
            <w:tcW w:w="1999" w:type="dxa"/>
            <w:vMerge w:val="restart"/>
          </w:tcPr>
          <w:p w:rsidR="00C56A18" w:rsidRDefault="00C56A18">
            <w:r>
              <w:t>юридические лица, индивидуальные предприниматели</w:t>
            </w:r>
          </w:p>
        </w:tc>
        <w:tc>
          <w:tcPr>
            <w:tcW w:w="1650" w:type="dxa"/>
          </w:tcPr>
          <w:p w:rsidR="00C56A18" w:rsidRDefault="00C56A18" w:rsidP="00C56A18">
            <w:r w:rsidRPr="001A0D71">
              <w:t xml:space="preserve">Пункт 3 статья 37 </w:t>
            </w:r>
          </w:p>
        </w:tc>
        <w:tc>
          <w:tcPr>
            <w:tcW w:w="7433" w:type="dxa"/>
          </w:tcPr>
          <w:p w:rsidR="00C56A18" w:rsidRDefault="00C56A18">
            <w:r>
              <w:t xml:space="preserve"> </w:t>
            </w:r>
            <w:r w:rsidRPr="001A0D71">
              <w:t xml:space="preserve">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 </w:t>
            </w:r>
          </w:p>
          <w:p w:rsidR="00C56A18" w:rsidRDefault="00C56A18"/>
        </w:tc>
      </w:tr>
      <w:tr w:rsidR="00C56A18" w:rsidTr="00232CE4">
        <w:trPr>
          <w:trHeight w:val="916"/>
        </w:trPr>
        <w:tc>
          <w:tcPr>
            <w:tcW w:w="534" w:type="dxa"/>
            <w:vMerge/>
          </w:tcPr>
          <w:p w:rsidR="00C56A18" w:rsidRDefault="00C56A18"/>
        </w:tc>
        <w:tc>
          <w:tcPr>
            <w:tcW w:w="3234" w:type="dxa"/>
            <w:vMerge/>
          </w:tcPr>
          <w:p w:rsidR="00C56A18" w:rsidRDefault="00C56A18"/>
        </w:tc>
        <w:tc>
          <w:tcPr>
            <w:tcW w:w="1999" w:type="dxa"/>
            <w:vMerge/>
          </w:tcPr>
          <w:p w:rsidR="00C56A18" w:rsidRDefault="00C56A18"/>
        </w:tc>
        <w:tc>
          <w:tcPr>
            <w:tcW w:w="1650" w:type="dxa"/>
          </w:tcPr>
          <w:p w:rsidR="00C56A18" w:rsidRPr="001A0D71" w:rsidRDefault="00C56A18" w:rsidP="00C56A18">
            <w:r>
              <w:t xml:space="preserve"> </w:t>
            </w:r>
            <w:r w:rsidRPr="001A0D71">
              <w:t xml:space="preserve"> </w:t>
            </w:r>
            <w:r>
              <w:t>Пункт 2 статья 38</w:t>
            </w:r>
          </w:p>
        </w:tc>
        <w:tc>
          <w:tcPr>
            <w:tcW w:w="7433" w:type="dxa"/>
          </w:tcPr>
          <w:p w:rsidR="00C56A18" w:rsidRDefault="00C56A18"/>
          <w:p w:rsidR="00C56A18" w:rsidRDefault="00C56A18" w:rsidP="00C56A18">
            <w: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w:t>
            </w:r>
            <w:proofErr w:type="gramStart"/>
            <w:r>
              <w:t>контроля за</w:t>
            </w:r>
            <w:proofErr w:type="gramEnd"/>
            <w:r>
              <w:t xml:space="preserve"> загрязнением окружающей среды, без завершения предусмотренных проектами работ по охране окружающей среды, восстановлению природной среды, </w:t>
            </w:r>
            <w:r>
              <w:lastRenderedPageBreak/>
              <w:t>рекультивации земель, благоустройству территорий в соответствии с законодательством Российской Федерации.</w:t>
            </w:r>
          </w:p>
        </w:tc>
      </w:tr>
      <w:tr w:rsidR="00C56A18" w:rsidTr="00232CE4">
        <w:trPr>
          <w:trHeight w:val="1018"/>
        </w:trPr>
        <w:tc>
          <w:tcPr>
            <w:tcW w:w="534" w:type="dxa"/>
            <w:vMerge/>
          </w:tcPr>
          <w:p w:rsidR="00C56A18" w:rsidRDefault="00C56A18"/>
        </w:tc>
        <w:tc>
          <w:tcPr>
            <w:tcW w:w="3234" w:type="dxa"/>
            <w:vMerge/>
          </w:tcPr>
          <w:p w:rsidR="00C56A18" w:rsidRDefault="00C56A18"/>
        </w:tc>
        <w:tc>
          <w:tcPr>
            <w:tcW w:w="1999" w:type="dxa"/>
            <w:vMerge/>
          </w:tcPr>
          <w:p w:rsidR="00C56A18" w:rsidRDefault="00C56A18"/>
        </w:tc>
        <w:tc>
          <w:tcPr>
            <w:tcW w:w="1650" w:type="dxa"/>
          </w:tcPr>
          <w:p w:rsidR="00C56A18" w:rsidRDefault="00C56A18" w:rsidP="00C56A18">
            <w:r>
              <w:t>Пункт 2 статья 39</w:t>
            </w:r>
          </w:p>
        </w:tc>
        <w:tc>
          <w:tcPr>
            <w:tcW w:w="7433" w:type="dxa"/>
          </w:tcPr>
          <w:p w:rsidR="00C56A18" w:rsidRDefault="00C56A18" w:rsidP="00C56A18">
            <w:proofErr w:type="gramStart"/>
            <w:r>
              <w:t>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w:t>
            </w:r>
            <w:proofErr w:type="gramEnd"/>
            <w:r>
              <w:t>, благоустройству территорий в соответствии с законодательством.</w:t>
            </w:r>
          </w:p>
        </w:tc>
      </w:tr>
      <w:tr w:rsidR="00C56A18" w:rsidTr="00232CE4">
        <w:trPr>
          <w:trHeight w:val="2038"/>
        </w:trPr>
        <w:tc>
          <w:tcPr>
            <w:tcW w:w="534" w:type="dxa"/>
            <w:vMerge/>
          </w:tcPr>
          <w:p w:rsidR="00C56A18" w:rsidRDefault="00C56A18"/>
        </w:tc>
        <w:tc>
          <w:tcPr>
            <w:tcW w:w="3234" w:type="dxa"/>
            <w:vMerge/>
          </w:tcPr>
          <w:p w:rsidR="00C56A18" w:rsidRDefault="00C56A18"/>
        </w:tc>
        <w:tc>
          <w:tcPr>
            <w:tcW w:w="1999" w:type="dxa"/>
            <w:vMerge/>
          </w:tcPr>
          <w:p w:rsidR="00C56A18" w:rsidRDefault="00C56A18"/>
        </w:tc>
        <w:tc>
          <w:tcPr>
            <w:tcW w:w="1650" w:type="dxa"/>
          </w:tcPr>
          <w:p w:rsidR="00C56A18" w:rsidRDefault="00C56A18" w:rsidP="00C56A18">
            <w:r>
              <w:t>Пункт 2 статья 44</w:t>
            </w:r>
          </w:p>
        </w:tc>
        <w:tc>
          <w:tcPr>
            <w:tcW w:w="7433" w:type="dxa"/>
          </w:tcPr>
          <w:p w:rsidR="00C56A18" w:rsidRDefault="00C56A18">
            <w:proofErr w:type="gramStart"/>
            <w:r>
              <w:t>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w:t>
            </w:r>
            <w:proofErr w:type="gramEnd"/>
            <w:r>
              <w:t xml:space="preserve"> </w:t>
            </w:r>
            <w:proofErr w:type="gramStart"/>
            <w:r>
              <w:t>соответствии</w:t>
            </w:r>
            <w:proofErr w:type="gramEnd"/>
            <w:r>
              <w:t xml:space="preserve"> с законодательством.</w:t>
            </w:r>
          </w:p>
        </w:tc>
      </w:tr>
      <w:tr w:rsidR="00C56A18" w:rsidTr="00232CE4">
        <w:trPr>
          <w:trHeight w:val="486"/>
        </w:trPr>
        <w:tc>
          <w:tcPr>
            <w:tcW w:w="534" w:type="dxa"/>
            <w:vMerge/>
          </w:tcPr>
          <w:p w:rsidR="00C56A18" w:rsidRDefault="00C56A18"/>
        </w:tc>
        <w:tc>
          <w:tcPr>
            <w:tcW w:w="3234" w:type="dxa"/>
            <w:vMerge/>
          </w:tcPr>
          <w:p w:rsidR="00C56A18" w:rsidRDefault="00C56A18"/>
        </w:tc>
        <w:tc>
          <w:tcPr>
            <w:tcW w:w="1999" w:type="dxa"/>
            <w:vMerge/>
          </w:tcPr>
          <w:p w:rsidR="00C56A18" w:rsidRDefault="00C56A18"/>
        </w:tc>
        <w:tc>
          <w:tcPr>
            <w:tcW w:w="1650" w:type="dxa"/>
          </w:tcPr>
          <w:p w:rsidR="00C56A18" w:rsidRDefault="00C56A18" w:rsidP="00C56A18">
            <w:r>
              <w:t>Статья 61</w:t>
            </w:r>
          </w:p>
        </w:tc>
        <w:tc>
          <w:tcPr>
            <w:tcW w:w="7433" w:type="dxa"/>
          </w:tcPr>
          <w:p w:rsidR="00C56A18" w:rsidRDefault="00C56A18" w:rsidP="00C56A18">
            <w: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 Государственное регулирование в области охраны зеленого фонда городских и сельских поселений осуществляется в соответствии с законодательством.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w:t>
            </w:r>
            <w:r>
              <w:lastRenderedPageBreak/>
              <w:t>препятствующая осуществлению ими функций экологического, санитарно-гигиенического и рекреационного назначения.</w:t>
            </w:r>
          </w:p>
        </w:tc>
      </w:tr>
      <w:tr w:rsidR="000E6B60" w:rsidTr="00232CE4">
        <w:trPr>
          <w:trHeight w:val="1234"/>
        </w:trPr>
        <w:tc>
          <w:tcPr>
            <w:tcW w:w="534" w:type="dxa"/>
            <w:vMerge w:val="restart"/>
          </w:tcPr>
          <w:p w:rsidR="000E6B60" w:rsidRDefault="000E6B60"/>
        </w:tc>
        <w:tc>
          <w:tcPr>
            <w:tcW w:w="3234" w:type="dxa"/>
            <w:vMerge w:val="restart"/>
          </w:tcPr>
          <w:p w:rsidR="000E6B60" w:rsidRDefault="000E6B60">
            <w:r>
              <w:t>Федеральный закон от 6 октября 2003 г. № 131- ФЗ "Об общих принципах организации местного самоуправления в Российской Федерации"</w:t>
            </w:r>
          </w:p>
        </w:tc>
        <w:tc>
          <w:tcPr>
            <w:tcW w:w="1999" w:type="dxa"/>
            <w:vMerge w:val="restart"/>
          </w:tcPr>
          <w:p w:rsidR="000E6B60" w:rsidRDefault="000E6B60">
            <w:r>
              <w:t>юридические лица, индивидуальные предприниматели</w:t>
            </w:r>
          </w:p>
        </w:tc>
        <w:tc>
          <w:tcPr>
            <w:tcW w:w="1650" w:type="dxa"/>
          </w:tcPr>
          <w:p w:rsidR="000E6B60" w:rsidRDefault="000E6B60">
            <w:r>
              <w:t>фрагмент части 1 статьи 2</w:t>
            </w:r>
          </w:p>
        </w:tc>
        <w:tc>
          <w:tcPr>
            <w:tcW w:w="7433" w:type="dxa"/>
          </w:tcPr>
          <w:p w:rsidR="000E6B60" w:rsidRDefault="000E6B60">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ред. Федерального закона от 29.12.2017 N 463-ФЗ).</w:t>
            </w:r>
          </w:p>
        </w:tc>
      </w:tr>
      <w:tr w:rsidR="000E6B60" w:rsidTr="00232CE4">
        <w:trPr>
          <w:trHeight w:val="636"/>
        </w:trPr>
        <w:tc>
          <w:tcPr>
            <w:tcW w:w="534" w:type="dxa"/>
            <w:vMerge/>
          </w:tcPr>
          <w:p w:rsidR="000E6B60" w:rsidRDefault="000E6B60"/>
        </w:tc>
        <w:tc>
          <w:tcPr>
            <w:tcW w:w="3234" w:type="dxa"/>
            <w:vMerge/>
          </w:tcPr>
          <w:p w:rsidR="000E6B60" w:rsidRDefault="000E6B60"/>
        </w:tc>
        <w:tc>
          <w:tcPr>
            <w:tcW w:w="1999" w:type="dxa"/>
            <w:vMerge/>
          </w:tcPr>
          <w:p w:rsidR="000E6B60" w:rsidRDefault="000E6B60"/>
        </w:tc>
        <w:tc>
          <w:tcPr>
            <w:tcW w:w="1650" w:type="dxa"/>
          </w:tcPr>
          <w:p w:rsidR="000E6B60" w:rsidRDefault="000E6B60" w:rsidP="000E6B60">
            <w:r>
              <w:t>пункт 19 части 1 статьи 14</w:t>
            </w:r>
          </w:p>
        </w:tc>
        <w:tc>
          <w:tcPr>
            <w:tcW w:w="7433" w:type="dxa"/>
          </w:tcPr>
          <w:p w:rsidR="000E6B60" w:rsidRDefault="000E6B60">
            <w:r>
              <w:t xml:space="preserve">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(п. 19 в ред. Федерального закона от 29.12.2017 N 463-ФЗ).</w:t>
            </w:r>
          </w:p>
        </w:tc>
      </w:tr>
      <w:tr w:rsidR="00C56A18" w:rsidTr="00232CE4">
        <w:tc>
          <w:tcPr>
            <w:tcW w:w="534" w:type="dxa"/>
          </w:tcPr>
          <w:p w:rsidR="00C56A18" w:rsidRDefault="00C56A18"/>
        </w:tc>
        <w:tc>
          <w:tcPr>
            <w:tcW w:w="3234" w:type="dxa"/>
          </w:tcPr>
          <w:p w:rsidR="00C56A18" w:rsidRDefault="000E6B60" w:rsidP="000E6B60">
            <w:r>
              <w:t xml:space="preserve">Федеральный закон от 30 марта 1999 г. № 52-ФЗ  </w:t>
            </w:r>
          </w:p>
          <w:p w:rsidR="000E6B60" w:rsidRDefault="000E6B60" w:rsidP="000E6B60">
            <w:r>
              <w:t xml:space="preserve">"О </w:t>
            </w:r>
            <w:proofErr w:type="spellStart"/>
            <w:r>
              <w:t>санитарноэпидемиологическом</w:t>
            </w:r>
            <w:proofErr w:type="spellEnd"/>
            <w:r>
              <w:t xml:space="preserve"> благополучии населения"</w:t>
            </w:r>
          </w:p>
        </w:tc>
        <w:tc>
          <w:tcPr>
            <w:tcW w:w="1999" w:type="dxa"/>
          </w:tcPr>
          <w:p w:rsidR="00C56A18" w:rsidRDefault="000E6B60">
            <w:r>
              <w:t>юридические лица, индивидуальные предприниматели</w:t>
            </w:r>
          </w:p>
        </w:tc>
        <w:tc>
          <w:tcPr>
            <w:tcW w:w="1650" w:type="dxa"/>
          </w:tcPr>
          <w:p w:rsidR="00C56A18" w:rsidRDefault="000E6B60">
            <w:r>
              <w:t>пункты 1, 2 статьи 12</w:t>
            </w:r>
          </w:p>
        </w:tc>
        <w:tc>
          <w:tcPr>
            <w:tcW w:w="7433" w:type="dxa"/>
          </w:tcPr>
          <w:p w:rsidR="00C56A18" w:rsidRDefault="000E6B60" w:rsidP="000E6B60">
            <w:r>
              <w:t xml:space="preserve">-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 -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санитарные правила. </w:t>
            </w:r>
            <w:proofErr w:type="gramStart"/>
            <w:r>
              <w:t>-П</w:t>
            </w:r>
            <w:proofErr w:type="gramEnd"/>
            <w:r>
              <w:t xml:space="preserve">орядок </w:t>
            </w:r>
            <w:r>
              <w:lastRenderedPageBreak/>
              <w:t xml:space="preserve">установления санитарно-защитных зон и использования земельных участков, расположенных в границах </w:t>
            </w:r>
            <w:proofErr w:type="spellStart"/>
            <w:r>
              <w:t>санитарнозащитных</w:t>
            </w:r>
            <w:proofErr w:type="spellEnd"/>
            <w:r>
              <w:t xml:space="preserve"> зон, утверждается Правительством Российской Федерации.</w:t>
            </w:r>
          </w:p>
        </w:tc>
      </w:tr>
      <w:tr w:rsidR="004B7760" w:rsidTr="00232CE4">
        <w:trPr>
          <w:trHeight w:val="1982"/>
        </w:trPr>
        <w:tc>
          <w:tcPr>
            <w:tcW w:w="534" w:type="dxa"/>
            <w:vMerge w:val="restart"/>
          </w:tcPr>
          <w:p w:rsidR="004B7760" w:rsidRDefault="004B7760"/>
        </w:tc>
        <w:tc>
          <w:tcPr>
            <w:tcW w:w="3234" w:type="dxa"/>
            <w:vMerge w:val="restart"/>
          </w:tcPr>
          <w:p w:rsidR="004B7760" w:rsidRDefault="004B7760">
            <w: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999" w:type="dxa"/>
            <w:vMerge w:val="restart"/>
          </w:tcPr>
          <w:p w:rsidR="004B7760" w:rsidRDefault="004B7760">
            <w:r>
              <w:t>юридические лица, индивидуальные предприниматели</w:t>
            </w:r>
          </w:p>
        </w:tc>
        <w:tc>
          <w:tcPr>
            <w:tcW w:w="1650" w:type="dxa"/>
          </w:tcPr>
          <w:p w:rsidR="004B7760" w:rsidRDefault="004B7760">
            <w:r>
              <w:t>часть 1 статьи 9</w:t>
            </w:r>
          </w:p>
        </w:tc>
        <w:tc>
          <w:tcPr>
            <w:tcW w:w="7433" w:type="dxa"/>
          </w:tcPr>
          <w:p w:rsidR="004B7760" w:rsidRDefault="004B7760">
            <w: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7760" w:rsidRDefault="004B7760"/>
        </w:tc>
      </w:tr>
      <w:tr w:rsidR="004B7760" w:rsidTr="00232CE4">
        <w:trPr>
          <w:trHeight w:val="411"/>
        </w:trPr>
        <w:tc>
          <w:tcPr>
            <w:tcW w:w="534" w:type="dxa"/>
            <w:vMerge/>
          </w:tcPr>
          <w:p w:rsidR="004B7760" w:rsidRDefault="004B7760"/>
        </w:tc>
        <w:tc>
          <w:tcPr>
            <w:tcW w:w="3234" w:type="dxa"/>
            <w:vMerge/>
          </w:tcPr>
          <w:p w:rsidR="004B7760" w:rsidRDefault="004B7760"/>
        </w:tc>
        <w:tc>
          <w:tcPr>
            <w:tcW w:w="1999" w:type="dxa"/>
            <w:vMerge/>
          </w:tcPr>
          <w:p w:rsidR="004B7760" w:rsidRDefault="004B7760"/>
        </w:tc>
        <w:tc>
          <w:tcPr>
            <w:tcW w:w="1650" w:type="dxa"/>
          </w:tcPr>
          <w:p w:rsidR="004B7760" w:rsidRDefault="004B7760" w:rsidP="00BA56C0">
            <w:r>
              <w:t>часть 1 статьи 10</w:t>
            </w:r>
          </w:p>
        </w:tc>
        <w:tc>
          <w:tcPr>
            <w:tcW w:w="7433" w:type="dxa"/>
          </w:tcPr>
          <w:p w:rsidR="004B7760" w:rsidRDefault="004B7760">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B7760" w:rsidRDefault="004B7760" w:rsidP="00BA56C0"/>
        </w:tc>
      </w:tr>
      <w:tr w:rsidR="004B7760" w:rsidTr="00232CE4">
        <w:trPr>
          <w:trHeight w:val="841"/>
        </w:trPr>
        <w:tc>
          <w:tcPr>
            <w:tcW w:w="534" w:type="dxa"/>
            <w:vMerge/>
          </w:tcPr>
          <w:p w:rsidR="004B7760" w:rsidRDefault="004B7760"/>
        </w:tc>
        <w:tc>
          <w:tcPr>
            <w:tcW w:w="3234" w:type="dxa"/>
            <w:vMerge/>
          </w:tcPr>
          <w:p w:rsidR="004B7760" w:rsidRDefault="004B7760"/>
        </w:tc>
        <w:tc>
          <w:tcPr>
            <w:tcW w:w="1999" w:type="dxa"/>
            <w:vMerge/>
          </w:tcPr>
          <w:p w:rsidR="004B7760" w:rsidRDefault="004B7760"/>
        </w:tc>
        <w:tc>
          <w:tcPr>
            <w:tcW w:w="1650" w:type="dxa"/>
          </w:tcPr>
          <w:p w:rsidR="004B7760" w:rsidRDefault="004B7760" w:rsidP="00BA56C0">
            <w:r>
              <w:t>часть 1 статьи 11</w:t>
            </w:r>
          </w:p>
          <w:p w:rsidR="004B7760" w:rsidRDefault="004B7760" w:rsidP="00BA56C0"/>
        </w:tc>
        <w:tc>
          <w:tcPr>
            <w:tcW w:w="7433" w:type="dxa"/>
          </w:tcPr>
          <w:p w:rsidR="004B7760" w:rsidRDefault="004B7760" w:rsidP="00BA56C0">
            <w:proofErr w:type="gramStart"/>
            <w: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w:t>
            </w:r>
            <w:r>
              <w:lastRenderedPageBreak/>
              <w:t>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900586" w:rsidTr="004436B6">
        <w:trPr>
          <w:trHeight w:val="3091"/>
        </w:trPr>
        <w:tc>
          <w:tcPr>
            <w:tcW w:w="534" w:type="dxa"/>
            <w:vMerge/>
          </w:tcPr>
          <w:p w:rsidR="00900586" w:rsidRDefault="00900586"/>
        </w:tc>
        <w:tc>
          <w:tcPr>
            <w:tcW w:w="3234" w:type="dxa"/>
            <w:vMerge/>
          </w:tcPr>
          <w:p w:rsidR="00900586" w:rsidRDefault="00900586"/>
        </w:tc>
        <w:tc>
          <w:tcPr>
            <w:tcW w:w="1999" w:type="dxa"/>
            <w:vMerge/>
          </w:tcPr>
          <w:p w:rsidR="00900586" w:rsidRDefault="00900586"/>
        </w:tc>
        <w:tc>
          <w:tcPr>
            <w:tcW w:w="1650" w:type="dxa"/>
          </w:tcPr>
          <w:p w:rsidR="00900586" w:rsidRDefault="00900586" w:rsidP="00BA56C0"/>
          <w:p w:rsidR="00900586" w:rsidRDefault="00900586" w:rsidP="00BA56C0">
            <w:r>
              <w:t>часть 1 статьи 12</w:t>
            </w:r>
          </w:p>
          <w:p w:rsidR="00900586" w:rsidRDefault="00900586" w:rsidP="00BA56C0"/>
        </w:tc>
        <w:tc>
          <w:tcPr>
            <w:tcW w:w="7433" w:type="dxa"/>
          </w:tcPr>
          <w:p w:rsidR="00900586" w:rsidRDefault="00900586" w:rsidP="00BA56C0">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BA56C0" w:rsidTr="00232CE4">
        <w:tc>
          <w:tcPr>
            <w:tcW w:w="534" w:type="dxa"/>
          </w:tcPr>
          <w:p w:rsidR="00BA56C0" w:rsidRDefault="00BA56C0"/>
        </w:tc>
        <w:tc>
          <w:tcPr>
            <w:tcW w:w="3234" w:type="dxa"/>
          </w:tcPr>
          <w:p w:rsidR="00BA56C0" w:rsidRDefault="00E518AE">
            <w:r>
              <w:t>Федеральный закон от 31.07.2020 № 248-ФЗ «О государственном контроле (надзоре) и муниципальном контроле в Российской Федерации»</w:t>
            </w:r>
          </w:p>
        </w:tc>
        <w:tc>
          <w:tcPr>
            <w:tcW w:w="1999" w:type="dxa"/>
          </w:tcPr>
          <w:p w:rsidR="00BA56C0" w:rsidRDefault="00E518AE">
            <w:r>
              <w:t>юридические лица, индивидуальные предприниматели, граждане</w:t>
            </w:r>
          </w:p>
        </w:tc>
        <w:tc>
          <w:tcPr>
            <w:tcW w:w="1650" w:type="dxa"/>
          </w:tcPr>
          <w:p w:rsidR="00BA56C0" w:rsidRDefault="00E518AE">
            <w:r>
              <w:t>Глава 3 статья 15</w:t>
            </w:r>
          </w:p>
        </w:tc>
        <w:tc>
          <w:tcPr>
            <w:tcW w:w="7433" w:type="dxa"/>
          </w:tcPr>
          <w:p w:rsidR="00E518AE" w:rsidRDefault="00E518AE">
            <w:r>
              <w:t xml:space="preserve">1. Предметом государственного контроля (надзора), муниципального контроля (далее также - предмет контроля) являются: </w:t>
            </w:r>
          </w:p>
          <w:p w:rsidR="00BA56C0" w:rsidRDefault="00E518AE">
            <w:proofErr w:type="gramStart"/>
            <w:r>
              <w:t>1) соблюдение контролируемыми лицами обязательных требований, установленных нормативными правовыми актами; 2) соблюдение (реализация) требований, содержащихся в разрешительных документах; 3) соблюдение требований документов, исполнение которых является необходимым в соответствии с законодательством Российской Федерации; 4) исполнение решений, принимаемых по результатам контрольных (надзорных) мероприятий, (п. 4 в ред. Федерального закона от 11.06.2021 N 170-ФЗ). 2.</w:t>
            </w:r>
            <w:proofErr w:type="gramEnd"/>
            <w:r>
              <w:t xml:space="preserve">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(часть 2 в ред. Федерального закона от 11.06.2021 N 170-ФЗ).</w:t>
            </w:r>
          </w:p>
        </w:tc>
      </w:tr>
      <w:tr w:rsidR="00DC11DC" w:rsidTr="00DC11DC">
        <w:trPr>
          <w:trHeight w:val="392"/>
        </w:trPr>
        <w:tc>
          <w:tcPr>
            <w:tcW w:w="534" w:type="dxa"/>
            <w:vMerge w:val="restart"/>
          </w:tcPr>
          <w:p w:rsidR="00DC11DC" w:rsidRDefault="00DC11DC"/>
        </w:tc>
        <w:tc>
          <w:tcPr>
            <w:tcW w:w="3234" w:type="dxa"/>
            <w:vMerge w:val="restart"/>
          </w:tcPr>
          <w:p w:rsidR="00DC11DC" w:rsidRDefault="00DC11DC">
            <w:r>
              <w:t xml:space="preserve">Постановление Правительства Российской Федерации от </w:t>
            </w:r>
            <w:r>
              <w:lastRenderedPageBreak/>
              <w:t>01.10.2022 № 1743 «О внесении изменений в Постановление Правительства Российской федерации от 10.03.2022г № 336</w:t>
            </w:r>
          </w:p>
        </w:tc>
        <w:tc>
          <w:tcPr>
            <w:tcW w:w="1999" w:type="dxa"/>
            <w:vMerge w:val="restart"/>
          </w:tcPr>
          <w:p w:rsidR="00DC11DC" w:rsidRDefault="00DC11DC"/>
        </w:tc>
        <w:tc>
          <w:tcPr>
            <w:tcW w:w="1650" w:type="dxa"/>
          </w:tcPr>
          <w:p w:rsidR="00DC11DC" w:rsidRPr="00900586" w:rsidRDefault="00DC11DC" w:rsidP="00DC11DC">
            <w:r w:rsidRPr="00900586">
              <w:rPr>
                <w:color w:val="000000"/>
                <w:shd w:val="clear" w:color="auto" w:fill="FFFFFF"/>
              </w:rPr>
              <w:t xml:space="preserve">пунктами 11(3)    </w:t>
            </w:r>
          </w:p>
        </w:tc>
        <w:tc>
          <w:tcPr>
            <w:tcW w:w="7433" w:type="dxa"/>
          </w:tcPr>
          <w:p w:rsidR="00DC11DC" w:rsidRPr="00DC11DC" w:rsidRDefault="00DC11DC" w:rsidP="00900586">
            <w:pPr>
              <w:pStyle w:val="a4"/>
              <w:shd w:val="clear" w:color="auto" w:fill="FFFFFF"/>
              <w:spacing w:before="210" w:beforeAutospacing="0" w:after="0" w:afterAutospacing="0"/>
              <w:rPr>
                <w:rFonts w:asciiTheme="minorHAnsi" w:hAnsiTheme="minorHAnsi" w:cstheme="minorHAnsi"/>
                <w:color w:val="000000"/>
                <w:sz w:val="22"/>
                <w:szCs w:val="22"/>
              </w:rPr>
            </w:pPr>
            <w:r w:rsidRPr="00DC11DC">
              <w:rPr>
                <w:rFonts w:asciiTheme="minorHAnsi" w:hAnsiTheme="minorHAnsi" w:cstheme="minorHAnsi"/>
                <w:color w:val="000000"/>
                <w:sz w:val="22"/>
                <w:szCs w:val="22"/>
              </w:rPr>
              <w:t xml:space="preserve"> Установить, что за исключением случаев, предусмотренных пунктом 11(4) настоящего постановления, в планы проведения плановых контрольных </w:t>
            </w:r>
            <w:r w:rsidRPr="00DC11DC">
              <w:rPr>
                <w:rFonts w:asciiTheme="minorHAnsi" w:hAnsiTheme="minorHAnsi" w:cstheme="minorHAnsi"/>
                <w:color w:val="000000"/>
                <w:sz w:val="22"/>
                <w:szCs w:val="22"/>
              </w:rPr>
              <w:lastRenderedPageBreak/>
              <w:t xml:space="preserve">(надзорных)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w:t>
            </w:r>
            <w:proofErr w:type="gramStart"/>
            <w:r w:rsidRPr="00DC11DC">
              <w:rPr>
                <w:rFonts w:asciiTheme="minorHAnsi" w:hAnsiTheme="minorHAnsi" w:cstheme="minorHAnsi"/>
                <w:color w:val="000000"/>
                <w:sz w:val="22"/>
                <w:szCs w:val="22"/>
              </w:rPr>
              <w:t>осуществления</w:t>
            </w:r>
            <w:proofErr w:type="gramEnd"/>
            <w:r w:rsidRPr="00DC11DC">
              <w:rPr>
                <w:rFonts w:asciiTheme="minorHAnsi" w:hAnsiTheme="minorHAnsi" w:cstheme="minorHAnsi"/>
                <w:color w:val="000000"/>
                <w:sz w:val="22"/>
                <w:szCs w:val="22"/>
              </w:rPr>
              <w:t xml:space="preserve"> которых регулируется Федеральным </w:t>
            </w:r>
            <w:hyperlink r:id="rId4" w:history="1">
              <w:r w:rsidRPr="00DC11DC">
                <w:rPr>
                  <w:rStyle w:val="a5"/>
                  <w:rFonts w:asciiTheme="minorHAnsi" w:hAnsiTheme="minorHAnsi" w:cstheme="minorHAnsi"/>
                  <w:color w:val="1A0DAB"/>
                  <w:sz w:val="22"/>
                  <w:szCs w:val="22"/>
                </w:rPr>
                <w:t>законом</w:t>
              </w:r>
            </w:hyperlink>
            <w:r w:rsidRPr="00DC11DC">
              <w:rPr>
                <w:rFonts w:asciiTheme="minorHAnsi" w:hAnsiTheme="minorHAnsi" w:cstheme="minorHAnsi"/>
                <w:color w:val="000000"/>
                <w:sz w:val="22"/>
                <w:szCs w:val="22"/>
              </w:rPr>
              <w:t> "О государственном контроле (надзоре) и муниципальном контроле в Российской Федерации" и Федеральным </w:t>
            </w:r>
            <w:hyperlink r:id="rId5" w:history="1">
              <w:r w:rsidRPr="00DC11DC">
                <w:rPr>
                  <w:rStyle w:val="a5"/>
                  <w:rFonts w:asciiTheme="minorHAnsi" w:hAnsiTheme="minorHAnsi" w:cstheme="minorHAnsi"/>
                  <w:color w:val="1A0DAB"/>
                  <w:sz w:val="22"/>
                  <w:szCs w:val="22"/>
                </w:rPr>
                <w:t>законом</w:t>
              </w:r>
            </w:hyperlink>
            <w:r w:rsidRPr="00DC11DC">
              <w:rPr>
                <w:rFonts w:asciiTheme="minorHAnsi" w:hAnsiTheme="minorHAnsi" w:cstheme="minorHAnsi"/>
                <w:color w:val="000000"/>
                <w:sz w:val="22"/>
                <w:szCs w:val="22"/>
              </w:rPr>
              <w:t>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 w:history="1">
              <w:r w:rsidRPr="00DC11DC">
                <w:rPr>
                  <w:rStyle w:val="a5"/>
                  <w:rFonts w:asciiTheme="minorHAnsi" w:hAnsiTheme="minorHAnsi" w:cstheme="minorHAnsi"/>
                  <w:color w:val="1A0DAB"/>
                  <w:sz w:val="22"/>
                  <w:szCs w:val="22"/>
                </w:rPr>
                <w:t>законом</w:t>
              </w:r>
            </w:hyperlink>
            <w:r w:rsidRPr="00DC11DC">
              <w:rPr>
                <w:rFonts w:asciiTheme="minorHAnsi" w:hAnsiTheme="minorHAnsi" w:cstheme="minorHAnsi"/>
                <w:color w:val="000000"/>
                <w:sz w:val="22"/>
                <w:szCs w:val="22"/>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w:t>
            </w:r>
            <w:proofErr w:type="spellStart"/>
            <w:proofErr w:type="gramStart"/>
            <w:r w:rsidRPr="00DC11DC">
              <w:rPr>
                <w:rFonts w:asciiTheme="minorHAnsi" w:hAnsiTheme="minorHAnsi" w:cstheme="minorHAnsi"/>
                <w:color w:val="000000"/>
                <w:sz w:val="22"/>
                <w:szCs w:val="22"/>
              </w:rPr>
              <w:t>риск-ориентированный</w:t>
            </w:r>
            <w:proofErr w:type="spellEnd"/>
            <w:proofErr w:type="gramEnd"/>
            <w:r w:rsidRPr="00DC11DC">
              <w:rPr>
                <w:rFonts w:asciiTheme="minorHAnsi" w:hAnsiTheme="minorHAnsi" w:cstheme="minorHAnsi"/>
                <w:color w:val="000000"/>
                <w:sz w:val="22"/>
                <w:szCs w:val="22"/>
              </w:rPr>
              <w:t xml:space="preserve"> подход.</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w:t>
            </w:r>
            <w:proofErr w:type="gramStart"/>
            <w:r w:rsidRPr="00DC11DC">
              <w:rPr>
                <w:rFonts w:asciiTheme="minorHAnsi" w:hAnsiTheme="minorHAnsi" w:cstheme="minorHAnsi"/>
                <w:color w:val="000000"/>
                <w:sz w:val="22"/>
                <w:szCs w:val="22"/>
              </w:rPr>
              <w:t>позднее</w:t>
            </w:r>
            <w:proofErr w:type="gramEnd"/>
            <w:r w:rsidRPr="00DC11DC">
              <w:rPr>
                <w:rFonts w:asciiTheme="minorHAnsi" w:hAnsiTheme="minorHAnsi" w:cstheme="minorHAnsi"/>
                <w:color w:val="000000"/>
                <w:sz w:val="22"/>
                <w:szCs w:val="22"/>
              </w:rPr>
              <w:t xml:space="preserve">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w:t>
            </w:r>
            <w:proofErr w:type="gramStart"/>
            <w:r w:rsidRPr="00DC11DC">
              <w:rPr>
                <w:rFonts w:asciiTheme="minorHAnsi" w:hAnsiTheme="minorHAnsi" w:cstheme="minorHAnsi"/>
                <w:color w:val="000000"/>
                <w:sz w:val="22"/>
                <w:szCs w:val="22"/>
              </w:rPr>
              <w:t>позднее</w:t>
            </w:r>
            <w:proofErr w:type="gramEnd"/>
            <w:r w:rsidRPr="00DC11DC">
              <w:rPr>
                <w:rFonts w:asciiTheme="minorHAnsi" w:hAnsiTheme="minorHAnsi" w:cstheme="minorHAnsi"/>
                <w:color w:val="000000"/>
                <w:sz w:val="22"/>
                <w:szCs w:val="22"/>
              </w:rPr>
              <w:t xml:space="preserve">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DC11DC" w:rsidRPr="00DC11DC" w:rsidRDefault="00DC11DC">
            <w:pPr>
              <w:rPr>
                <w:rFonts w:cstheme="minorHAnsi"/>
              </w:rPr>
            </w:pPr>
          </w:p>
        </w:tc>
      </w:tr>
      <w:tr w:rsidR="00DC11DC" w:rsidTr="00DC11DC">
        <w:trPr>
          <w:trHeight w:val="916"/>
        </w:trPr>
        <w:tc>
          <w:tcPr>
            <w:tcW w:w="534" w:type="dxa"/>
            <w:vMerge/>
          </w:tcPr>
          <w:p w:rsidR="00DC11DC" w:rsidRDefault="00DC11DC"/>
        </w:tc>
        <w:tc>
          <w:tcPr>
            <w:tcW w:w="3234" w:type="dxa"/>
            <w:vMerge/>
          </w:tcPr>
          <w:p w:rsidR="00DC11DC" w:rsidRDefault="00DC11DC"/>
        </w:tc>
        <w:tc>
          <w:tcPr>
            <w:tcW w:w="1999" w:type="dxa"/>
            <w:vMerge/>
          </w:tcPr>
          <w:p w:rsidR="00DC11DC" w:rsidRDefault="00DC11DC"/>
        </w:tc>
        <w:tc>
          <w:tcPr>
            <w:tcW w:w="1650" w:type="dxa"/>
          </w:tcPr>
          <w:p w:rsidR="00DC11DC" w:rsidRPr="00900586" w:rsidRDefault="00DC11DC" w:rsidP="00DC11DC">
            <w:pPr>
              <w:rPr>
                <w:color w:val="000000"/>
                <w:shd w:val="clear" w:color="auto" w:fill="FFFFFF"/>
              </w:rPr>
            </w:pPr>
            <w:r w:rsidRPr="00900586">
              <w:rPr>
                <w:color w:val="000000"/>
                <w:shd w:val="clear" w:color="auto" w:fill="FFFFFF"/>
              </w:rPr>
              <w:t>11(4)</w:t>
            </w:r>
          </w:p>
        </w:tc>
        <w:tc>
          <w:tcPr>
            <w:tcW w:w="7433" w:type="dxa"/>
          </w:tcPr>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 xml:space="preserve">11(4). </w:t>
            </w:r>
            <w:proofErr w:type="gramStart"/>
            <w:r w:rsidRPr="00DC11DC">
              <w:rPr>
                <w:rFonts w:asciiTheme="minorHAnsi" w:hAnsiTheme="minorHAnsi" w:cstheme="minorHAnsi"/>
                <w:color w:val="000000"/>
                <w:sz w:val="22"/>
                <w:szCs w:val="22"/>
              </w:rPr>
              <w:t>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w:t>
            </w:r>
            <w:proofErr w:type="gramEnd"/>
            <w:r w:rsidRPr="00DC11DC">
              <w:rPr>
                <w:rFonts w:asciiTheme="minorHAnsi" w:hAnsiTheme="minorHAnsi" w:cstheme="minorHAnsi"/>
                <w:color w:val="000000"/>
                <w:sz w:val="22"/>
                <w:szCs w:val="22"/>
              </w:rPr>
              <w:t xml:space="preserve"> от его проведения.</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 xml:space="preserve">В случае, указанном в абзаце первом настоящего пункта, профилактический визит </w:t>
            </w:r>
            <w:proofErr w:type="gramStart"/>
            <w:r w:rsidRPr="00DC11DC">
              <w:rPr>
                <w:rFonts w:asciiTheme="minorHAnsi" w:hAnsiTheme="minorHAnsi" w:cstheme="minorHAnsi"/>
                <w:color w:val="000000"/>
                <w:sz w:val="22"/>
                <w:szCs w:val="22"/>
              </w:rPr>
              <w:t>проводится</w:t>
            </w:r>
            <w:proofErr w:type="gramEnd"/>
            <w:r w:rsidRPr="00DC11DC">
              <w:rPr>
                <w:rFonts w:asciiTheme="minorHAnsi" w:hAnsiTheme="minorHAnsi" w:cstheme="minorHAnsi"/>
                <w:color w:val="000000"/>
                <w:sz w:val="22"/>
                <w:szCs w:val="22"/>
              </w:rPr>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r w:rsidRPr="00DC11DC">
              <w:rPr>
                <w:rFonts w:asciiTheme="minorHAnsi" w:hAnsiTheme="minorHAnsi" w:cstheme="minorHAnsi"/>
                <w:color w:val="000000"/>
                <w:sz w:val="22"/>
                <w:szCs w:val="22"/>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w:t>
            </w:r>
            <w:r w:rsidRPr="00DC11DC">
              <w:rPr>
                <w:rFonts w:asciiTheme="minorHAnsi" w:hAnsiTheme="minorHAnsi" w:cstheme="minorHAnsi"/>
                <w:color w:val="000000"/>
                <w:sz w:val="22"/>
                <w:szCs w:val="22"/>
              </w:rPr>
              <w:lastRenderedPageBreak/>
              <w:t>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DC11DC" w:rsidRPr="00DC11DC" w:rsidRDefault="00DC11DC" w:rsidP="00DC11DC">
            <w:pPr>
              <w:pStyle w:val="a4"/>
              <w:shd w:val="clear" w:color="auto" w:fill="FFFFFF"/>
              <w:spacing w:before="210" w:beforeAutospacing="0" w:after="0" w:afterAutospacing="0"/>
              <w:ind w:firstLine="540"/>
              <w:rPr>
                <w:rFonts w:asciiTheme="minorHAnsi" w:hAnsiTheme="minorHAnsi" w:cstheme="minorHAnsi"/>
                <w:color w:val="000000"/>
                <w:sz w:val="22"/>
                <w:szCs w:val="22"/>
              </w:rPr>
            </w:pPr>
            <w:proofErr w:type="gramStart"/>
            <w:r w:rsidRPr="00DC11DC">
              <w:rPr>
                <w:rFonts w:asciiTheme="minorHAnsi" w:hAnsiTheme="minorHAnsi" w:cstheme="minorHAnsi"/>
                <w:color w:val="000000"/>
                <w:sz w:val="22"/>
                <w:szCs w:val="22"/>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7" w:anchor="dst100011" w:history="1">
              <w:r w:rsidRPr="00DC11DC">
                <w:rPr>
                  <w:rStyle w:val="a5"/>
                  <w:rFonts w:asciiTheme="minorHAnsi" w:hAnsiTheme="minorHAnsi" w:cstheme="minorHAnsi"/>
                  <w:color w:val="1A0DAB"/>
                  <w:sz w:val="22"/>
                  <w:szCs w:val="22"/>
                </w:rPr>
                <w:t>Правилами</w:t>
              </w:r>
              <w:proofErr w:type="gramEnd"/>
            </w:hyperlink>
            <w:r w:rsidRPr="00DC11DC">
              <w:rPr>
                <w:rFonts w:asciiTheme="minorHAnsi" w:hAnsiTheme="minorHAnsi" w:cstheme="minorHAnsi"/>
                <w:color w:val="000000"/>
                <w:sz w:val="22"/>
                <w:szCs w:val="22"/>
              </w:rPr>
              <w:t>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DC11DC">
              <w:rPr>
                <w:rFonts w:asciiTheme="minorHAnsi" w:hAnsiTheme="minorHAnsi" w:cstheme="minorHAnsi"/>
                <w:color w:val="000000"/>
                <w:sz w:val="22"/>
                <w:szCs w:val="22"/>
              </w:rPr>
              <w:t>."</w:t>
            </w:r>
            <w:proofErr w:type="gramEnd"/>
            <w:r w:rsidRPr="00DC11DC">
              <w:rPr>
                <w:rFonts w:asciiTheme="minorHAnsi" w:hAnsiTheme="minorHAnsi" w:cstheme="minorHAnsi"/>
                <w:color w:val="000000"/>
                <w:sz w:val="22"/>
                <w:szCs w:val="22"/>
              </w:rPr>
              <w:t>.</w:t>
            </w:r>
          </w:p>
          <w:p w:rsidR="00DC11DC" w:rsidRPr="00DC11DC" w:rsidRDefault="00DC11DC">
            <w:pPr>
              <w:rPr>
                <w:rFonts w:cstheme="minorHAnsi"/>
              </w:rPr>
            </w:pPr>
          </w:p>
        </w:tc>
      </w:tr>
      <w:tr w:rsidR="00900586" w:rsidTr="0002479C">
        <w:tc>
          <w:tcPr>
            <w:tcW w:w="534" w:type="dxa"/>
          </w:tcPr>
          <w:p w:rsidR="00900586" w:rsidRDefault="00900586"/>
        </w:tc>
        <w:tc>
          <w:tcPr>
            <w:tcW w:w="14316" w:type="dxa"/>
            <w:gridSpan w:val="4"/>
          </w:tcPr>
          <w:p w:rsidR="00900586" w:rsidRDefault="00900586">
            <w:r>
              <w:t>Иные нормативные документы</w:t>
            </w:r>
          </w:p>
        </w:tc>
      </w:tr>
      <w:tr w:rsidR="00BA56C0" w:rsidTr="00232CE4">
        <w:tc>
          <w:tcPr>
            <w:tcW w:w="534" w:type="dxa"/>
          </w:tcPr>
          <w:p w:rsidR="00BA56C0" w:rsidRDefault="00BA56C0"/>
        </w:tc>
        <w:tc>
          <w:tcPr>
            <w:tcW w:w="3234" w:type="dxa"/>
          </w:tcPr>
          <w:p w:rsidR="00BA56C0" w:rsidRDefault="00E518AE">
            <w:r>
              <w:t>Р</w:t>
            </w:r>
            <w:r w:rsidR="00900586">
              <w:t>ешение Новоильинского сельского  Совета депутатов   № 20 от 22.09</w:t>
            </w:r>
            <w:r>
              <w:t>.2021 г «</w:t>
            </w:r>
            <w:r w:rsidR="00900586" w:rsidRPr="00900586">
              <w:t>Об утверждении Положения о муниципальном контроле в сфере благоустройства на территории муниципального образования  Новоильинский сельсовет Хабарского района Алтайского края</w:t>
            </w:r>
            <w:r w:rsidR="00900586">
              <w:t>».</w:t>
            </w:r>
          </w:p>
        </w:tc>
        <w:tc>
          <w:tcPr>
            <w:tcW w:w="1999" w:type="dxa"/>
          </w:tcPr>
          <w:p w:rsidR="00BA56C0" w:rsidRDefault="00E518AE">
            <w:r>
              <w:t>юридические лица, индивидуальные предприниматели, граждане</w:t>
            </w:r>
          </w:p>
        </w:tc>
        <w:tc>
          <w:tcPr>
            <w:tcW w:w="1650" w:type="dxa"/>
          </w:tcPr>
          <w:p w:rsidR="00BA56C0" w:rsidRDefault="00E518AE">
            <w:r>
              <w:t>В полном объеме</w:t>
            </w:r>
          </w:p>
        </w:tc>
        <w:tc>
          <w:tcPr>
            <w:tcW w:w="7433" w:type="dxa"/>
          </w:tcPr>
          <w:p w:rsidR="00BA56C0" w:rsidRDefault="00E518AE">
            <w:r>
              <w:t xml:space="preserve">1.2. </w:t>
            </w:r>
            <w:proofErr w:type="gramStart"/>
            <w:r>
              <w:t xml:space="preserve">Предметом муниципального контроля является: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900586">
              <w:t>Новоильинского сельсовета Хабарского района Алтайского края</w:t>
            </w:r>
            <w:r>
              <w:t xml:space="preserve">, утвержденных решением </w:t>
            </w:r>
            <w:r w:rsidR="00900586">
              <w:t xml:space="preserve"> Новоильинского сельского </w:t>
            </w:r>
            <w:r>
              <w:t xml:space="preserve">Совета депутатов </w:t>
            </w:r>
            <w:r w:rsidR="00900586">
              <w:t xml:space="preserve">Хабарского района Алтайского края </w:t>
            </w:r>
            <w: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w:t>
            </w:r>
            <w:r w:rsidR="00900586">
              <w:t xml:space="preserve">  территории Новоильинского сельсовета Хабарского района Алтайского края</w:t>
            </w:r>
            <w:r>
              <w:t xml:space="preserve"> </w:t>
            </w:r>
            <w:r w:rsidR="00900586">
              <w:t xml:space="preserve"> </w:t>
            </w:r>
            <w:r>
              <w:t xml:space="preserve"> в</w:t>
            </w:r>
            <w:proofErr w:type="gramEnd"/>
            <w:r>
              <w:t xml:space="preserve"> </w:t>
            </w:r>
            <w:proofErr w:type="gramStart"/>
            <w:r>
              <w:t>соответствии</w:t>
            </w:r>
            <w:proofErr w:type="gramEnd"/>
            <w:r>
              <w:t xml:space="preserve"> с Правилами;</w:t>
            </w:r>
          </w:p>
          <w:p w:rsidR="00E518AE" w:rsidRDefault="00E518AE">
            <w:r>
              <w:t xml:space="preserve">исполнение решений, принимаемых по результатам контрольных </w:t>
            </w:r>
            <w:r>
              <w:lastRenderedPageBreak/>
              <w:t>мероприятий.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518AE" w:rsidRDefault="00E518AE"/>
          <w:p w:rsidR="00E518AE" w:rsidRDefault="00E518AE"/>
        </w:tc>
      </w:tr>
    </w:tbl>
    <w:p w:rsidR="00C56A18" w:rsidRDefault="00232CE4">
      <w:r>
        <w:lastRenderedPageBreak/>
        <w:t>Ссылки на полный текст: 1. Федеральный закон от 31.07.2020 № 248-ФЗ «О государственном контроле (надзоре) и муниципальном контроле в Российской Федерации», http://publication.pravo.gov.ru/Document/View/0001202007310018 2.Федеральный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https://minjust.gov.ru/ru/documents/7622/ 3. Федеральный закон от 30 марта 1999 г. № 52-ФЗ"О санитарно-эпидемиологическом благополучии населения" http://pravo.gov.ru/proxy/ips/?docbody=&amp;nd=102058898 4. Федеральный закон от 10 января 2002 г. № 7-ФЗ"Об охране окружающей среды» http://pravo.gov.ru/proxy/ips/?docbody=&amp;nd=102074303 5. Федеральный закон от 6 октября 2003 г. № 131-ФЗ "Об общих принципах организации местного самоуправления в Российской Федерации" http://pravo.gov.ru/proxy/ips/?docbody=&amp;nd=102083574 5.</w:t>
      </w:r>
      <w:r w:rsidR="00900586">
        <w:t xml:space="preserve"> </w:t>
      </w:r>
    </w:p>
    <w:sectPr w:rsidR="00C56A18" w:rsidSect="00C56A1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56A18"/>
    <w:rsid w:val="000B0F6A"/>
    <w:rsid w:val="000E6B60"/>
    <w:rsid w:val="00222119"/>
    <w:rsid w:val="00232CE4"/>
    <w:rsid w:val="004003FC"/>
    <w:rsid w:val="004B7760"/>
    <w:rsid w:val="0056092C"/>
    <w:rsid w:val="007A4005"/>
    <w:rsid w:val="00804990"/>
    <w:rsid w:val="00900586"/>
    <w:rsid w:val="009B2706"/>
    <w:rsid w:val="00B77EE7"/>
    <w:rsid w:val="00BA56C0"/>
    <w:rsid w:val="00C56A18"/>
    <w:rsid w:val="00D64366"/>
    <w:rsid w:val="00DC11DC"/>
    <w:rsid w:val="00E33DEA"/>
    <w:rsid w:val="00E518AE"/>
    <w:rsid w:val="00F646A1"/>
    <w:rsid w:val="00F77C93"/>
    <w:rsid w:val="00FA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C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C11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88492/e0486cda51f520d08f808962e78842e700a8f6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11137/" TargetMode="External"/><Relationship Id="rId5" Type="http://schemas.openxmlformats.org/officeDocument/2006/relationships/hyperlink" Target="http://www.consultant.ru/document/cons_doc_LAW_411137/" TargetMode="External"/><Relationship Id="rId4" Type="http://schemas.openxmlformats.org/officeDocument/2006/relationships/hyperlink" Target="http://www.consultant.ru/document/cons_doc_LAW_422186/"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INWIN</dc:creator>
  <cp:keywords/>
  <dc:description/>
  <cp:lastModifiedBy>INWIN</cp:lastModifiedBy>
  <cp:revision>9</cp:revision>
  <dcterms:created xsi:type="dcterms:W3CDTF">2022-11-28T08:40:00Z</dcterms:created>
  <dcterms:modified xsi:type="dcterms:W3CDTF">2022-11-30T02:57:00Z</dcterms:modified>
</cp:coreProperties>
</file>